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AA25A" w14:textId="5DCC9C5B" w:rsidR="00573C5F" w:rsidRPr="00651185" w:rsidRDefault="00986E4E" w:rsidP="00B47BD0">
      <w:pPr>
        <w:jc w:val="center"/>
        <w:rPr>
          <w:rFonts w:ascii="Garamond" w:hAnsi="Garamond"/>
        </w:rPr>
      </w:pPr>
      <w:r w:rsidRPr="00651185">
        <w:rPr>
          <w:rFonts w:ascii="Garamond" w:hAnsi="Garamond"/>
          <w:noProof/>
        </w:rPr>
        <w:drawing>
          <wp:inline distT="0" distB="0" distL="0" distR="0" wp14:anchorId="0D97448D" wp14:editId="7F2D8180">
            <wp:extent cx="2788919"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9938" cy="841512"/>
                    </a:xfrm>
                    <a:prstGeom prst="rect">
                      <a:avLst/>
                    </a:prstGeom>
                    <a:noFill/>
                    <a:ln>
                      <a:noFill/>
                    </a:ln>
                  </pic:spPr>
                </pic:pic>
              </a:graphicData>
            </a:graphic>
          </wp:inline>
        </w:drawing>
      </w:r>
    </w:p>
    <w:p w14:paraId="2ED31FE7" w14:textId="77777777" w:rsidR="00573C5F" w:rsidRPr="00651185" w:rsidRDefault="00573C5F" w:rsidP="00D467AB">
      <w:pPr>
        <w:rPr>
          <w:rFonts w:ascii="Garamond" w:hAnsi="Garamond"/>
        </w:rPr>
      </w:pPr>
    </w:p>
    <w:p w14:paraId="747BA626" w14:textId="77777777" w:rsidR="00573C5F" w:rsidRPr="00651185" w:rsidRDefault="00573C5F" w:rsidP="00D467AB">
      <w:pPr>
        <w:rPr>
          <w:rFonts w:ascii="Garamond" w:hAnsi="Garamond"/>
        </w:rPr>
      </w:pPr>
    </w:p>
    <w:p w14:paraId="46A1F9B7" w14:textId="7268ACEC" w:rsidR="00573C5F" w:rsidRPr="00651185" w:rsidRDefault="00986E4E" w:rsidP="00986E4E">
      <w:pPr>
        <w:jc w:val="center"/>
        <w:rPr>
          <w:rFonts w:ascii="Garamond" w:hAnsi="Garamond"/>
          <w:b/>
        </w:rPr>
      </w:pPr>
      <w:r w:rsidRPr="00651185">
        <w:rPr>
          <w:rFonts w:ascii="Garamond" w:hAnsi="Garamond"/>
          <w:b/>
        </w:rPr>
        <w:t>Testimony to the Special Education Funding Formula Commission</w:t>
      </w:r>
    </w:p>
    <w:p w14:paraId="34BECBC7" w14:textId="169C5674" w:rsidR="00986E4E" w:rsidRPr="00651185" w:rsidRDefault="00986E4E" w:rsidP="00986E4E">
      <w:pPr>
        <w:jc w:val="center"/>
        <w:rPr>
          <w:rFonts w:ascii="Garamond" w:hAnsi="Garamond"/>
          <w:b/>
        </w:rPr>
      </w:pPr>
    </w:p>
    <w:p w14:paraId="06AD6CB9" w14:textId="604AE240" w:rsidR="00986E4E" w:rsidRPr="00651185" w:rsidRDefault="00986E4E" w:rsidP="00986E4E">
      <w:pPr>
        <w:jc w:val="center"/>
        <w:rPr>
          <w:rFonts w:ascii="Garamond" w:hAnsi="Garamond"/>
          <w:b/>
        </w:rPr>
      </w:pPr>
      <w:r w:rsidRPr="00651185">
        <w:rPr>
          <w:rFonts w:ascii="Garamond" w:hAnsi="Garamond"/>
          <w:b/>
        </w:rPr>
        <w:t>Presented by</w:t>
      </w:r>
    </w:p>
    <w:p w14:paraId="33D6ADB5" w14:textId="598B5A57" w:rsidR="00986E4E" w:rsidRPr="00651185" w:rsidRDefault="00986E4E" w:rsidP="00986E4E">
      <w:pPr>
        <w:jc w:val="center"/>
        <w:rPr>
          <w:rFonts w:ascii="Garamond" w:hAnsi="Garamond"/>
          <w:b/>
        </w:rPr>
      </w:pPr>
      <w:r w:rsidRPr="00651185">
        <w:rPr>
          <w:rFonts w:ascii="Garamond" w:hAnsi="Garamond"/>
          <w:b/>
        </w:rPr>
        <w:t>John Callahan, Chief Advocacy Officer</w:t>
      </w:r>
    </w:p>
    <w:p w14:paraId="5215AA80" w14:textId="164AB44A" w:rsidR="00986E4E" w:rsidRPr="00651185" w:rsidRDefault="00986E4E" w:rsidP="00986E4E">
      <w:pPr>
        <w:jc w:val="center"/>
        <w:rPr>
          <w:rFonts w:ascii="Garamond" w:hAnsi="Garamond"/>
          <w:b/>
        </w:rPr>
      </w:pPr>
      <w:r w:rsidRPr="00651185">
        <w:rPr>
          <w:rFonts w:ascii="Garamond" w:hAnsi="Garamond"/>
          <w:b/>
        </w:rPr>
        <w:t>Pennsylvania School Boards Association</w:t>
      </w:r>
    </w:p>
    <w:p w14:paraId="4AF342F7" w14:textId="715CCD87" w:rsidR="00986E4E" w:rsidRPr="00651185" w:rsidRDefault="00986E4E" w:rsidP="00986E4E">
      <w:pPr>
        <w:jc w:val="center"/>
        <w:rPr>
          <w:rFonts w:ascii="Garamond" w:hAnsi="Garamond"/>
          <w:b/>
        </w:rPr>
      </w:pPr>
    </w:p>
    <w:p w14:paraId="10459F0B" w14:textId="2A265004" w:rsidR="00986E4E" w:rsidRPr="00651185" w:rsidRDefault="00986E4E" w:rsidP="00B47BD0">
      <w:pPr>
        <w:jc w:val="center"/>
        <w:rPr>
          <w:rFonts w:ascii="Garamond" w:hAnsi="Garamond"/>
          <w:b/>
        </w:rPr>
      </w:pPr>
      <w:r w:rsidRPr="00651185">
        <w:rPr>
          <w:rFonts w:ascii="Garamond" w:hAnsi="Garamond"/>
          <w:b/>
        </w:rPr>
        <w:t>October 1, 2019</w:t>
      </w:r>
    </w:p>
    <w:p w14:paraId="4EF5A956" w14:textId="77777777" w:rsidR="00573C5F" w:rsidRPr="00651185" w:rsidRDefault="00573C5F" w:rsidP="00D467AB">
      <w:pPr>
        <w:rPr>
          <w:rFonts w:ascii="Garamond" w:hAnsi="Garamond"/>
        </w:rPr>
      </w:pPr>
    </w:p>
    <w:p w14:paraId="416E2980" w14:textId="40F74E1C" w:rsidR="00D467AB" w:rsidRPr="00651185" w:rsidRDefault="00D467AB" w:rsidP="00C85FC5">
      <w:pPr>
        <w:tabs>
          <w:tab w:val="left" w:pos="10980"/>
        </w:tabs>
        <w:rPr>
          <w:rFonts w:ascii="Garamond" w:hAnsi="Garamond"/>
        </w:rPr>
      </w:pPr>
      <w:r w:rsidRPr="00651185">
        <w:rPr>
          <w:rFonts w:ascii="Garamond" w:hAnsi="Garamond"/>
        </w:rPr>
        <w:t xml:space="preserve">The Pennsylvania School Boards Association (PSBA) thanks </w:t>
      </w:r>
      <w:r w:rsidR="00C85FC5" w:rsidRPr="00651185">
        <w:rPr>
          <w:rFonts w:ascii="Garamond" w:hAnsi="Garamond"/>
        </w:rPr>
        <w:t xml:space="preserve">Chairmen </w:t>
      </w:r>
      <w:r w:rsidRPr="00651185">
        <w:rPr>
          <w:rFonts w:ascii="Garamond" w:hAnsi="Garamond"/>
        </w:rPr>
        <w:t xml:space="preserve">Sonney and Browne and the members of the Special Education Funding </w:t>
      </w:r>
      <w:r w:rsidR="00986E4E" w:rsidRPr="00651185">
        <w:rPr>
          <w:rFonts w:ascii="Garamond" w:hAnsi="Garamond"/>
        </w:rPr>
        <w:t xml:space="preserve">Formula </w:t>
      </w:r>
      <w:r w:rsidRPr="00651185">
        <w:rPr>
          <w:rFonts w:ascii="Garamond" w:hAnsi="Garamond"/>
        </w:rPr>
        <w:t xml:space="preserve">Commission for </w:t>
      </w:r>
      <w:r w:rsidR="00C85FC5" w:rsidRPr="00651185">
        <w:rPr>
          <w:rFonts w:ascii="Garamond" w:hAnsi="Garamond"/>
        </w:rPr>
        <w:t>conducting this</w:t>
      </w:r>
      <w:r w:rsidRPr="00651185">
        <w:rPr>
          <w:rFonts w:ascii="Garamond" w:hAnsi="Garamond"/>
        </w:rPr>
        <w:t xml:space="preserve"> series of hearing</w:t>
      </w:r>
      <w:r w:rsidR="00986E4E" w:rsidRPr="00651185">
        <w:rPr>
          <w:rFonts w:ascii="Garamond" w:hAnsi="Garamond"/>
        </w:rPr>
        <w:t>s</w:t>
      </w:r>
      <w:r w:rsidRPr="00651185">
        <w:rPr>
          <w:rFonts w:ascii="Garamond" w:hAnsi="Garamond"/>
        </w:rPr>
        <w:t xml:space="preserve"> to review the special education </w:t>
      </w:r>
      <w:r w:rsidR="003C4002" w:rsidRPr="00651185">
        <w:rPr>
          <w:rFonts w:ascii="Garamond" w:hAnsi="Garamond"/>
        </w:rPr>
        <w:t xml:space="preserve">funding </w:t>
      </w:r>
      <w:r w:rsidRPr="00651185">
        <w:rPr>
          <w:rFonts w:ascii="Garamond" w:hAnsi="Garamond"/>
        </w:rPr>
        <w:t>formula and costs associated with that formula. We believe that reviewing the factors and dynamics of the formula and the services provided to our students every five years is a practice that is well worth repeating. We also welcome this opportunity to present written testimony on special education funding in the Commonwealth with respect to its impact on school districts and factors that drive up special education costs.</w:t>
      </w:r>
    </w:p>
    <w:p w14:paraId="3A3AE480" w14:textId="77777777" w:rsidR="00D467AB" w:rsidRPr="00651185" w:rsidRDefault="00D467AB" w:rsidP="00D467AB">
      <w:pPr>
        <w:rPr>
          <w:rFonts w:ascii="Garamond" w:hAnsi="Garamond"/>
        </w:rPr>
      </w:pPr>
    </w:p>
    <w:p w14:paraId="005CC38B" w14:textId="6A7C569F" w:rsidR="00D467AB" w:rsidRPr="00651185" w:rsidRDefault="00D467AB" w:rsidP="00D467AB">
      <w:pPr>
        <w:rPr>
          <w:rFonts w:ascii="Garamond" w:hAnsi="Garamond"/>
        </w:rPr>
      </w:pPr>
      <w:r w:rsidRPr="00651185">
        <w:rPr>
          <w:rFonts w:ascii="Garamond" w:hAnsi="Garamond"/>
        </w:rPr>
        <w:t>Of all the cost drivers on school district budgets, special education is one of the fastest rising and one of the hardest to control. School districts strive to give children an equal opportunity for a good education and cannot refuse services to a child with special needs. Therefore, districts must continue to tighten budgets to find new ways to fund special education mandates and prioritize the educational programs that benefit all students. Public schools</w:t>
      </w:r>
      <w:r w:rsidR="00BC077E" w:rsidRPr="00651185">
        <w:rPr>
          <w:rFonts w:ascii="Garamond" w:hAnsi="Garamond"/>
        </w:rPr>
        <w:t xml:space="preserve"> find the</w:t>
      </w:r>
      <w:r w:rsidRPr="00651185">
        <w:rPr>
          <w:rFonts w:ascii="Garamond" w:hAnsi="Garamond"/>
        </w:rPr>
        <w:t xml:space="preserve"> resources to provide the interventions and support necessary for children with learning and other disabilities to succeed</w:t>
      </w:r>
      <w:r w:rsidR="00F2224C" w:rsidRPr="00651185">
        <w:rPr>
          <w:rFonts w:ascii="Garamond" w:hAnsi="Garamond"/>
        </w:rPr>
        <w:t>.</w:t>
      </w:r>
      <w:r w:rsidRPr="00651185">
        <w:rPr>
          <w:rFonts w:ascii="Garamond" w:hAnsi="Garamond"/>
        </w:rPr>
        <w:t xml:space="preserve"> </w:t>
      </w:r>
    </w:p>
    <w:p w14:paraId="01C65217" w14:textId="77777777" w:rsidR="00D467AB" w:rsidRPr="00651185" w:rsidRDefault="00D467AB" w:rsidP="00D467AB">
      <w:pPr>
        <w:rPr>
          <w:rFonts w:ascii="Garamond" w:hAnsi="Garamond"/>
        </w:rPr>
      </w:pPr>
    </w:p>
    <w:p w14:paraId="3047DE60" w14:textId="58F5276C" w:rsidR="00BC077E" w:rsidRPr="00651185" w:rsidRDefault="00D467AB" w:rsidP="00BC077E">
      <w:pPr>
        <w:rPr>
          <w:rFonts w:ascii="Garamond" w:hAnsi="Garamond"/>
        </w:rPr>
      </w:pPr>
      <w:r w:rsidRPr="00651185">
        <w:rPr>
          <w:rFonts w:ascii="Garamond" w:hAnsi="Garamond"/>
        </w:rPr>
        <w:t xml:space="preserve">Special education costs are driven by the requirements of the Individuals with Disabilities Education Act (IDEA), Pennsylvania regulations and the unique needs of the students in each district. </w:t>
      </w:r>
      <w:r w:rsidR="00BC077E" w:rsidRPr="00651185">
        <w:rPr>
          <w:rFonts w:ascii="Garamond" w:hAnsi="Garamond"/>
        </w:rPr>
        <w:t>Unfortunately, the U.S. Congress has never come close to its promise of funding 40</w:t>
      </w:r>
      <w:r w:rsidR="00986E4E" w:rsidRPr="00651185">
        <w:rPr>
          <w:rFonts w:ascii="Garamond" w:hAnsi="Garamond"/>
        </w:rPr>
        <w:t>%</w:t>
      </w:r>
      <w:r w:rsidR="00BC077E" w:rsidRPr="00651185">
        <w:rPr>
          <w:rFonts w:ascii="Garamond" w:hAnsi="Garamond"/>
        </w:rPr>
        <w:t xml:space="preserve"> of the costs for IDEA and this was compounded in 1991 when Pennsylvania discontinued providing 100</w:t>
      </w:r>
      <w:r w:rsidR="00986E4E" w:rsidRPr="00651185">
        <w:rPr>
          <w:rFonts w:ascii="Garamond" w:hAnsi="Garamond"/>
        </w:rPr>
        <w:t>%</w:t>
      </w:r>
      <w:r w:rsidR="00BC077E" w:rsidRPr="00651185">
        <w:rPr>
          <w:rFonts w:ascii="Garamond" w:hAnsi="Garamond"/>
        </w:rPr>
        <w:t xml:space="preserve"> funding of the “excess costs” of providing appropriate special education services to students. </w:t>
      </w:r>
    </w:p>
    <w:p w14:paraId="502ADC8F" w14:textId="77777777" w:rsidR="00BC077E" w:rsidRPr="00651185" w:rsidRDefault="00BC077E" w:rsidP="00BC077E">
      <w:pPr>
        <w:rPr>
          <w:rFonts w:ascii="Garamond" w:hAnsi="Garamond"/>
        </w:rPr>
      </w:pPr>
    </w:p>
    <w:p w14:paraId="175C2FC8" w14:textId="51D97F0A" w:rsidR="00BC077E" w:rsidRPr="00651185" w:rsidRDefault="00BC077E" w:rsidP="00BC077E">
      <w:pPr>
        <w:rPr>
          <w:rFonts w:ascii="Garamond" w:hAnsi="Garamond"/>
        </w:rPr>
      </w:pPr>
      <w:r w:rsidRPr="00651185">
        <w:rPr>
          <w:rFonts w:ascii="Garamond" w:hAnsi="Garamond"/>
        </w:rPr>
        <w:t>The full funding and modernization of the IDEA, which requires that every student with a disability have access to a free and appropriate public education, is one of PSBA’s top federal priorit</w:t>
      </w:r>
      <w:r w:rsidR="00986E4E" w:rsidRPr="00651185">
        <w:rPr>
          <w:rFonts w:ascii="Garamond" w:hAnsi="Garamond"/>
        </w:rPr>
        <w:t>y issues</w:t>
      </w:r>
      <w:r w:rsidRPr="00651185">
        <w:rPr>
          <w:rFonts w:ascii="Garamond" w:hAnsi="Garamond"/>
        </w:rPr>
        <w:t xml:space="preserve">. Average federal support per student under IDEA over time, has been roughly </w:t>
      </w:r>
      <w:r w:rsidR="00986E4E" w:rsidRPr="00651185">
        <w:rPr>
          <w:rFonts w:ascii="Garamond" w:hAnsi="Garamond"/>
        </w:rPr>
        <w:t>15%</w:t>
      </w:r>
      <w:r w:rsidRPr="00651185">
        <w:rPr>
          <w:rFonts w:ascii="Garamond" w:hAnsi="Garamond"/>
        </w:rPr>
        <w:t>, while costs for special education continue to rise. Under the present circumstances, school districts are forced to drain additional funds from their general education budgets to cover the federal shortfall for special education</w:t>
      </w:r>
      <w:r w:rsidR="00986E4E" w:rsidRPr="00651185">
        <w:rPr>
          <w:rFonts w:ascii="Garamond" w:hAnsi="Garamond"/>
        </w:rPr>
        <w:t xml:space="preserve"> programs and services</w:t>
      </w:r>
      <w:r w:rsidRPr="00651185">
        <w:rPr>
          <w:rFonts w:ascii="Garamond" w:hAnsi="Garamond"/>
        </w:rPr>
        <w:t>.</w:t>
      </w:r>
    </w:p>
    <w:p w14:paraId="46A1D4F0" w14:textId="77777777" w:rsidR="00BC077E" w:rsidRPr="00651185" w:rsidRDefault="00BC077E" w:rsidP="00BC077E">
      <w:pPr>
        <w:rPr>
          <w:rFonts w:ascii="Garamond" w:eastAsia="Calibri" w:hAnsi="Garamond"/>
          <w:color w:val="000000"/>
          <w:shd w:val="clear" w:color="auto" w:fill="FFFFFF"/>
        </w:rPr>
      </w:pPr>
    </w:p>
    <w:p w14:paraId="4972C764" w14:textId="036AC418" w:rsidR="00D467AB" w:rsidRPr="00651185" w:rsidRDefault="00D467AB" w:rsidP="00D467AB">
      <w:pPr>
        <w:rPr>
          <w:rFonts w:ascii="Garamond" w:hAnsi="Garamond"/>
        </w:rPr>
      </w:pPr>
      <w:r w:rsidRPr="00651185">
        <w:rPr>
          <w:rFonts w:ascii="Garamond" w:hAnsi="Garamond"/>
        </w:rPr>
        <w:t xml:space="preserve">Therefore, </w:t>
      </w:r>
      <w:r w:rsidR="00F2224C" w:rsidRPr="00651185">
        <w:rPr>
          <w:rFonts w:ascii="Garamond" w:hAnsi="Garamond"/>
        </w:rPr>
        <w:t>PSBA</w:t>
      </w:r>
      <w:r w:rsidRPr="00651185">
        <w:rPr>
          <w:rFonts w:ascii="Garamond" w:hAnsi="Garamond"/>
        </w:rPr>
        <w:t xml:space="preserve"> would </w:t>
      </w:r>
      <w:r w:rsidR="00651185">
        <w:rPr>
          <w:rFonts w:ascii="Garamond" w:hAnsi="Garamond"/>
        </w:rPr>
        <w:t>recommend</w:t>
      </w:r>
      <w:r w:rsidR="003C4002" w:rsidRPr="00651185">
        <w:rPr>
          <w:rFonts w:ascii="Garamond" w:hAnsi="Garamond"/>
        </w:rPr>
        <w:t xml:space="preserve"> </w:t>
      </w:r>
      <w:r w:rsidRPr="00651185">
        <w:rPr>
          <w:rFonts w:ascii="Garamond" w:hAnsi="Garamond"/>
        </w:rPr>
        <w:t xml:space="preserve">that </w:t>
      </w:r>
      <w:r w:rsidR="00BC077E" w:rsidRPr="00651185">
        <w:rPr>
          <w:rFonts w:ascii="Garamond" w:hAnsi="Garamond"/>
        </w:rPr>
        <w:t>as we address factors within the</w:t>
      </w:r>
      <w:r w:rsidR="00F2224C" w:rsidRPr="00651185">
        <w:rPr>
          <w:rFonts w:ascii="Garamond" w:hAnsi="Garamond"/>
        </w:rPr>
        <w:t xml:space="preserve"> </w:t>
      </w:r>
      <w:r w:rsidR="00986E4E" w:rsidRPr="00651185">
        <w:rPr>
          <w:rFonts w:ascii="Garamond" w:hAnsi="Garamond"/>
        </w:rPr>
        <w:t>s</w:t>
      </w:r>
      <w:r w:rsidR="00F2224C" w:rsidRPr="00651185">
        <w:rPr>
          <w:rFonts w:ascii="Garamond" w:hAnsi="Garamond"/>
        </w:rPr>
        <w:t>tate</w:t>
      </w:r>
      <w:r w:rsidR="00BC077E" w:rsidRPr="00651185">
        <w:rPr>
          <w:rFonts w:ascii="Garamond" w:hAnsi="Garamond"/>
        </w:rPr>
        <w:t xml:space="preserve"> formula to update them</w:t>
      </w:r>
      <w:r w:rsidR="003C4002" w:rsidRPr="00651185">
        <w:rPr>
          <w:rFonts w:ascii="Garamond" w:hAnsi="Garamond"/>
        </w:rPr>
        <w:t>,</w:t>
      </w:r>
      <w:r w:rsidR="00BC077E" w:rsidRPr="00651185">
        <w:rPr>
          <w:rFonts w:ascii="Garamond" w:hAnsi="Garamond"/>
        </w:rPr>
        <w:t xml:space="preserve"> we also need</w:t>
      </w:r>
      <w:r w:rsidRPr="00651185">
        <w:rPr>
          <w:rFonts w:ascii="Garamond" w:hAnsi="Garamond"/>
        </w:rPr>
        <w:t xml:space="preserve"> take a holistic approach </w:t>
      </w:r>
      <w:r w:rsidR="00BC077E" w:rsidRPr="00651185">
        <w:rPr>
          <w:rFonts w:ascii="Garamond" w:hAnsi="Garamond"/>
        </w:rPr>
        <w:t>by</w:t>
      </w:r>
      <w:r w:rsidRPr="00651185">
        <w:rPr>
          <w:rFonts w:ascii="Garamond" w:hAnsi="Garamond"/>
        </w:rPr>
        <w:t xml:space="preserve"> increasing the annual appropriation of </w:t>
      </w:r>
      <w:r w:rsidR="00986E4E" w:rsidRPr="00651185">
        <w:rPr>
          <w:rFonts w:ascii="Garamond" w:hAnsi="Garamond"/>
        </w:rPr>
        <w:t xml:space="preserve">federal funding </w:t>
      </w:r>
      <w:r w:rsidR="00BC077E" w:rsidRPr="00651185">
        <w:rPr>
          <w:rFonts w:ascii="Garamond" w:hAnsi="Garamond"/>
        </w:rPr>
        <w:t xml:space="preserve">via the modernization of IDEA, increasing the </w:t>
      </w:r>
      <w:r w:rsidRPr="00651185">
        <w:rPr>
          <w:rFonts w:ascii="Garamond" w:hAnsi="Garamond"/>
        </w:rPr>
        <w:t>state funding</w:t>
      </w:r>
      <w:r w:rsidR="00BC077E" w:rsidRPr="00651185">
        <w:rPr>
          <w:rFonts w:ascii="Garamond" w:hAnsi="Garamond"/>
        </w:rPr>
        <w:t xml:space="preserve"> proportion</w:t>
      </w:r>
      <w:r w:rsidRPr="00651185">
        <w:rPr>
          <w:rFonts w:ascii="Garamond" w:hAnsi="Garamond"/>
        </w:rPr>
        <w:t xml:space="preserve">, and avoiding new requirements that would cause the </w:t>
      </w:r>
      <w:r w:rsidR="00986E4E" w:rsidRPr="00651185">
        <w:rPr>
          <w:rFonts w:ascii="Garamond" w:hAnsi="Garamond"/>
        </w:rPr>
        <w:t xml:space="preserve">commonwealth’s </w:t>
      </w:r>
      <w:r w:rsidRPr="00651185">
        <w:rPr>
          <w:rFonts w:ascii="Garamond" w:hAnsi="Garamond"/>
        </w:rPr>
        <w:t>school districts to experience further financial stress</w:t>
      </w:r>
      <w:r w:rsidR="00BC077E" w:rsidRPr="00651185">
        <w:rPr>
          <w:rFonts w:ascii="Garamond" w:hAnsi="Garamond"/>
        </w:rPr>
        <w:t xml:space="preserve"> via new special education mandates</w:t>
      </w:r>
      <w:r w:rsidRPr="00651185">
        <w:rPr>
          <w:rFonts w:ascii="Garamond" w:hAnsi="Garamond"/>
        </w:rPr>
        <w:t>.</w:t>
      </w:r>
    </w:p>
    <w:p w14:paraId="535816C0" w14:textId="77777777" w:rsidR="00BC077E" w:rsidRPr="00651185" w:rsidRDefault="00BC077E" w:rsidP="00BC077E">
      <w:pPr>
        <w:autoSpaceDE w:val="0"/>
        <w:autoSpaceDN w:val="0"/>
        <w:adjustRightInd w:val="0"/>
        <w:rPr>
          <w:rFonts w:ascii="Garamond" w:hAnsi="Garamond"/>
        </w:rPr>
      </w:pPr>
    </w:p>
    <w:p w14:paraId="756DB244" w14:textId="4537A229" w:rsidR="006611CB" w:rsidRPr="00651185" w:rsidRDefault="003C4002" w:rsidP="00BC077E">
      <w:pPr>
        <w:autoSpaceDE w:val="0"/>
        <w:autoSpaceDN w:val="0"/>
        <w:adjustRightInd w:val="0"/>
        <w:rPr>
          <w:rFonts w:ascii="Garamond" w:hAnsi="Garamond"/>
        </w:rPr>
      </w:pPr>
      <w:r w:rsidRPr="00651185">
        <w:rPr>
          <w:rFonts w:ascii="Garamond" w:hAnsi="Garamond"/>
          <w:noProof/>
        </w:rPr>
        <w:drawing>
          <wp:inline distT="0" distB="0" distL="0" distR="0" wp14:anchorId="21786AEC" wp14:editId="00EA3988">
            <wp:extent cx="5943600" cy="3199130"/>
            <wp:effectExtent l="0" t="0" r="0" b="1270"/>
            <wp:docPr id="6" name="Chart 6">
              <a:extLst xmlns:a="http://schemas.openxmlformats.org/drawingml/2006/main">
                <a:ext uri="{FF2B5EF4-FFF2-40B4-BE49-F238E27FC236}">
                  <a16:creationId xmlns:a16="http://schemas.microsoft.com/office/drawing/2014/main" id="{3BAE1B6E-54FB-40FA-BCF1-AA49691D31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C5CD7D6" w14:textId="77777777" w:rsidR="006611CB" w:rsidRPr="00651185" w:rsidRDefault="006611CB" w:rsidP="00BC077E">
      <w:pPr>
        <w:autoSpaceDE w:val="0"/>
        <w:autoSpaceDN w:val="0"/>
        <w:adjustRightInd w:val="0"/>
        <w:rPr>
          <w:rFonts w:ascii="Garamond" w:hAnsi="Garamond"/>
        </w:rPr>
      </w:pPr>
    </w:p>
    <w:p w14:paraId="60D0ED67" w14:textId="77777777" w:rsidR="00BC077E" w:rsidRPr="00651185" w:rsidRDefault="00BC077E" w:rsidP="00BC077E">
      <w:pPr>
        <w:autoSpaceDE w:val="0"/>
        <w:autoSpaceDN w:val="0"/>
        <w:adjustRightInd w:val="0"/>
        <w:rPr>
          <w:rFonts w:ascii="Garamond" w:hAnsi="Garamond"/>
          <w:u w:val="single"/>
        </w:rPr>
      </w:pPr>
      <w:r w:rsidRPr="00651185">
        <w:rPr>
          <w:rFonts w:ascii="Garamond" w:hAnsi="Garamond"/>
          <w:u w:val="single"/>
        </w:rPr>
        <w:t>Financial Considerations of Special Education</w:t>
      </w:r>
    </w:p>
    <w:p w14:paraId="4A307F41" w14:textId="77777777" w:rsidR="00BC077E" w:rsidRPr="00651185" w:rsidRDefault="00BC077E" w:rsidP="00BC077E">
      <w:pPr>
        <w:autoSpaceDE w:val="0"/>
        <w:autoSpaceDN w:val="0"/>
        <w:adjustRightInd w:val="0"/>
        <w:rPr>
          <w:rFonts w:ascii="Garamond" w:hAnsi="Garamond"/>
        </w:rPr>
      </w:pPr>
    </w:p>
    <w:p w14:paraId="418EBD99" w14:textId="31F17DCC" w:rsidR="00BC077E" w:rsidRDefault="00BC077E" w:rsidP="00BC077E">
      <w:pPr>
        <w:rPr>
          <w:rFonts w:ascii="Garamond" w:hAnsi="Garamond"/>
        </w:rPr>
      </w:pPr>
      <w:r w:rsidRPr="00651185">
        <w:rPr>
          <w:rFonts w:ascii="Garamond" w:hAnsi="Garamond"/>
        </w:rPr>
        <w:t xml:space="preserve">Public schools spent more than $4.7 billion </w:t>
      </w:r>
      <w:r w:rsidR="00986E4E" w:rsidRPr="00651185">
        <w:rPr>
          <w:rFonts w:ascii="Garamond" w:hAnsi="Garamond"/>
        </w:rPr>
        <w:t xml:space="preserve">in 2017-18 </w:t>
      </w:r>
      <w:r w:rsidRPr="00651185">
        <w:rPr>
          <w:rFonts w:ascii="Garamond" w:hAnsi="Garamond"/>
        </w:rPr>
        <w:t>to provide mandatory special education and early intervention programs and services to children and students with disabilities. That’s 73% more than 10 years prior.</w:t>
      </w:r>
      <w:r w:rsidR="006611CB" w:rsidRPr="00651185">
        <w:rPr>
          <w:rFonts w:ascii="Garamond" w:hAnsi="Garamond"/>
        </w:rPr>
        <w:t xml:space="preserve"> For the last three years, PSBA has conducted a State of Education survey of chief school administrators. In each of those surveys, special education costs have consistently been identified as one of the biggest budget pressures for school districts. </w:t>
      </w:r>
      <w:r w:rsidR="002C6C6C" w:rsidRPr="00651185">
        <w:rPr>
          <w:rFonts w:ascii="Garamond" w:hAnsi="Garamond"/>
        </w:rPr>
        <w:t xml:space="preserve">Special education </w:t>
      </w:r>
      <w:r w:rsidR="001C2579" w:rsidRPr="00651185">
        <w:rPr>
          <w:rFonts w:ascii="Garamond" w:hAnsi="Garamond"/>
        </w:rPr>
        <w:t xml:space="preserve">expenses rank third only behind </w:t>
      </w:r>
      <w:r w:rsidR="006611CB" w:rsidRPr="00651185">
        <w:rPr>
          <w:rFonts w:ascii="Garamond" w:hAnsi="Garamond"/>
        </w:rPr>
        <w:t>pension and charter school tuition costs</w:t>
      </w:r>
      <w:r w:rsidR="009D1BE0" w:rsidRPr="00651185">
        <w:rPr>
          <w:rFonts w:ascii="Garamond" w:hAnsi="Garamond"/>
        </w:rPr>
        <w:t xml:space="preserve"> and it is easy to see why.</w:t>
      </w:r>
    </w:p>
    <w:p w14:paraId="1873D3FA" w14:textId="77777777" w:rsidR="00651185" w:rsidRPr="00651185" w:rsidRDefault="00651185" w:rsidP="00BC077E">
      <w:pPr>
        <w:rPr>
          <w:rFonts w:ascii="Garamond" w:hAnsi="Garamond"/>
          <w:sz w:val="12"/>
        </w:rPr>
      </w:pPr>
    </w:p>
    <w:p w14:paraId="26A5F55D" w14:textId="4A59AC90" w:rsidR="006611CB" w:rsidRPr="00651185" w:rsidRDefault="003C4002" w:rsidP="00BC077E">
      <w:pPr>
        <w:rPr>
          <w:rFonts w:ascii="Garamond" w:hAnsi="Garamond"/>
        </w:rPr>
      </w:pPr>
      <w:r w:rsidRPr="00651185">
        <w:rPr>
          <w:rFonts w:ascii="Garamond" w:hAnsi="Garamond"/>
          <w:noProof/>
        </w:rPr>
        <w:drawing>
          <wp:inline distT="0" distB="0" distL="0" distR="0" wp14:anchorId="42E6015B" wp14:editId="2B8A8416">
            <wp:extent cx="5943600" cy="3203575"/>
            <wp:effectExtent l="0" t="0" r="0" b="15875"/>
            <wp:docPr id="7" name="Chart 7">
              <a:extLst xmlns:a="http://schemas.openxmlformats.org/drawingml/2006/main">
                <a:ext uri="{FF2B5EF4-FFF2-40B4-BE49-F238E27FC236}">
                  <a16:creationId xmlns:a16="http://schemas.microsoft.com/office/drawing/2014/main" id="{72C4B576-928B-481F-9F8C-9F4FE20B98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7C2A862" w14:textId="57C8C46E" w:rsidR="00BC077E" w:rsidRPr="00651185" w:rsidRDefault="00651185" w:rsidP="00BC077E">
      <w:pPr>
        <w:rPr>
          <w:rFonts w:ascii="Garamond" w:hAnsi="Garamond"/>
        </w:rPr>
      </w:pPr>
      <w:r>
        <w:rPr>
          <w:rFonts w:ascii="Garamond" w:hAnsi="Garamond"/>
        </w:rPr>
        <w:t>There is a common misconception that school districts</w:t>
      </w:r>
      <w:r w:rsidR="00BC077E" w:rsidRPr="00651185">
        <w:rPr>
          <w:rFonts w:ascii="Garamond" w:hAnsi="Garamond"/>
        </w:rPr>
        <w:t xml:space="preserve"> know exactly how much is spent on </w:t>
      </w:r>
      <w:r w:rsidR="006611CB" w:rsidRPr="00651185">
        <w:rPr>
          <w:rFonts w:ascii="Garamond" w:hAnsi="Garamond"/>
        </w:rPr>
        <w:t xml:space="preserve">special education </w:t>
      </w:r>
      <w:r w:rsidR="00BC077E" w:rsidRPr="00651185">
        <w:rPr>
          <w:rFonts w:ascii="Garamond" w:hAnsi="Garamond"/>
        </w:rPr>
        <w:t>service</w:t>
      </w:r>
      <w:r w:rsidR="006611CB" w:rsidRPr="00651185">
        <w:rPr>
          <w:rFonts w:ascii="Garamond" w:hAnsi="Garamond"/>
        </w:rPr>
        <w:t>s</w:t>
      </w:r>
      <w:r w:rsidR="001C2579" w:rsidRPr="00651185">
        <w:rPr>
          <w:rFonts w:ascii="Garamond" w:hAnsi="Garamond"/>
        </w:rPr>
        <w:t xml:space="preserve">; </w:t>
      </w:r>
      <w:r w:rsidR="00BC077E" w:rsidRPr="00651185">
        <w:rPr>
          <w:rFonts w:ascii="Garamond" w:hAnsi="Garamond"/>
        </w:rPr>
        <w:t>however</w:t>
      </w:r>
      <w:r w:rsidR="001C2579" w:rsidRPr="00651185">
        <w:rPr>
          <w:rFonts w:ascii="Garamond" w:hAnsi="Garamond"/>
        </w:rPr>
        <w:t>,</w:t>
      </w:r>
      <w:r w:rsidR="00BC077E" w:rsidRPr="00651185">
        <w:rPr>
          <w:rFonts w:ascii="Garamond" w:hAnsi="Garamond"/>
        </w:rPr>
        <w:t xml:space="preserve"> </w:t>
      </w:r>
      <w:r w:rsidR="006611CB" w:rsidRPr="00651185">
        <w:rPr>
          <w:rFonts w:ascii="Garamond" w:hAnsi="Garamond"/>
        </w:rPr>
        <w:t>it is very</w:t>
      </w:r>
      <w:r w:rsidR="00BC077E" w:rsidRPr="00651185">
        <w:rPr>
          <w:rFonts w:ascii="Garamond" w:hAnsi="Garamond"/>
        </w:rPr>
        <w:t xml:space="preserve"> difficult to get a sense of exactly how much schools spend on special education because some of the services </w:t>
      </w:r>
      <w:r w:rsidR="006611CB" w:rsidRPr="00651185">
        <w:rPr>
          <w:rFonts w:ascii="Garamond" w:hAnsi="Garamond"/>
        </w:rPr>
        <w:t xml:space="preserve">our special education </w:t>
      </w:r>
      <w:r w:rsidR="00BC077E" w:rsidRPr="00651185">
        <w:rPr>
          <w:rFonts w:ascii="Garamond" w:hAnsi="Garamond"/>
        </w:rPr>
        <w:t>students require are comingled with services provided to regular education students – such as student support services like health services, psychological services and speech services.</w:t>
      </w:r>
      <w:r w:rsidR="006611CB" w:rsidRPr="00651185">
        <w:rPr>
          <w:rFonts w:ascii="Garamond" w:hAnsi="Garamond"/>
        </w:rPr>
        <w:t xml:space="preserve"> Our estimates are based on Annual Financial Reports from the Department of Education and include early intervention. </w:t>
      </w:r>
    </w:p>
    <w:p w14:paraId="11C288E7" w14:textId="77777777" w:rsidR="006611CB" w:rsidRPr="00651185" w:rsidRDefault="006611CB" w:rsidP="00BC077E">
      <w:pPr>
        <w:rPr>
          <w:rFonts w:ascii="Garamond" w:hAnsi="Garamond"/>
        </w:rPr>
      </w:pPr>
    </w:p>
    <w:p w14:paraId="6F0ABC77" w14:textId="77777777" w:rsidR="00BC077E" w:rsidRPr="00651185" w:rsidRDefault="006611CB" w:rsidP="00BC077E">
      <w:pPr>
        <w:rPr>
          <w:rFonts w:ascii="Garamond" w:hAnsi="Garamond"/>
        </w:rPr>
      </w:pPr>
      <w:r w:rsidRPr="00651185">
        <w:rPr>
          <w:rFonts w:ascii="Garamond" w:hAnsi="Garamond"/>
        </w:rPr>
        <w:t>Key findings from an analysis of the financial reports:</w:t>
      </w:r>
    </w:p>
    <w:p w14:paraId="09ED0411" w14:textId="77777777" w:rsidR="00BC077E" w:rsidRPr="00651185" w:rsidRDefault="00BC077E" w:rsidP="00BC077E">
      <w:pPr>
        <w:rPr>
          <w:rFonts w:ascii="Garamond" w:hAnsi="Garamond"/>
        </w:rPr>
      </w:pPr>
    </w:p>
    <w:p w14:paraId="627D55A5" w14:textId="77777777" w:rsidR="00BC077E" w:rsidRPr="00651185" w:rsidRDefault="00BC077E" w:rsidP="00BC077E">
      <w:pPr>
        <w:pStyle w:val="ListParagraph"/>
        <w:numPr>
          <w:ilvl w:val="0"/>
          <w:numId w:val="1"/>
        </w:numPr>
        <w:rPr>
          <w:rFonts w:ascii="Garamond" w:hAnsi="Garamond" w:cs="Times New Roman"/>
          <w:sz w:val="24"/>
          <w:szCs w:val="24"/>
        </w:rPr>
      </w:pPr>
      <w:r w:rsidRPr="00651185">
        <w:rPr>
          <w:rFonts w:ascii="Garamond" w:hAnsi="Garamond" w:cs="Times New Roman"/>
          <w:sz w:val="24"/>
          <w:szCs w:val="24"/>
        </w:rPr>
        <w:t xml:space="preserve">Although state budget appropriations for special education have been on the right track lately, that growth has not been keeping up the average increases in special education costs. </w:t>
      </w:r>
      <w:r w:rsidR="00C06B7A" w:rsidRPr="00651185">
        <w:rPr>
          <w:rFonts w:ascii="Garamond" w:hAnsi="Garamond" w:cs="Times New Roman"/>
          <w:sz w:val="24"/>
          <w:szCs w:val="24"/>
        </w:rPr>
        <w:t>Since 2013-14:</w:t>
      </w:r>
    </w:p>
    <w:p w14:paraId="6DD6352C" w14:textId="5BE78DC2" w:rsidR="00BC077E" w:rsidRPr="00651185" w:rsidRDefault="00C06B7A" w:rsidP="00BC077E">
      <w:pPr>
        <w:pStyle w:val="ListParagraph"/>
        <w:numPr>
          <w:ilvl w:val="1"/>
          <w:numId w:val="1"/>
        </w:numPr>
        <w:rPr>
          <w:rFonts w:ascii="Garamond" w:hAnsi="Garamond" w:cs="Times New Roman"/>
          <w:sz w:val="24"/>
          <w:szCs w:val="24"/>
        </w:rPr>
      </w:pPr>
      <w:r w:rsidRPr="00651185">
        <w:rPr>
          <w:rFonts w:ascii="Garamond" w:hAnsi="Garamond" w:cs="Times New Roman"/>
          <w:sz w:val="24"/>
          <w:szCs w:val="24"/>
        </w:rPr>
        <w:t>S</w:t>
      </w:r>
      <w:r w:rsidR="00BC077E" w:rsidRPr="00651185">
        <w:rPr>
          <w:rFonts w:ascii="Garamond" w:hAnsi="Garamond" w:cs="Times New Roman"/>
          <w:sz w:val="24"/>
          <w:szCs w:val="24"/>
        </w:rPr>
        <w:t>tate special education funding has increased an average of 1.5% per year.</w:t>
      </w:r>
    </w:p>
    <w:p w14:paraId="4DC2CAF3" w14:textId="03B509E9" w:rsidR="00BC077E" w:rsidRPr="00651185" w:rsidRDefault="00C06B7A" w:rsidP="00BC077E">
      <w:pPr>
        <w:pStyle w:val="ListParagraph"/>
        <w:numPr>
          <w:ilvl w:val="1"/>
          <w:numId w:val="1"/>
        </w:numPr>
        <w:rPr>
          <w:rFonts w:ascii="Garamond" w:hAnsi="Garamond" w:cs="Times New Roman"/>
          <w:sz w:val="24"/>
          <w:szCs w:val="24"/>
        </w:rPr>
      </w:pPr>
      <w:r w:rsidRPr="00651185">
        <w:rPr>
          <w:rFonts w:ascii="Garamond" w:hAnsi="Garamond" w:cs="Times New Roman"/>
          <w:sz w:val="24"/>
          <w:szCs w:val="24"/>
        </w:rPr>
        <w:t>S</w:t>
      </w:r>
      <w:r w:rsidR="00BC077E" w:rsidRPr="00651185">
        <w:rPr>
          <w:rFonts w:ascii="Garamond" w:hAnsi="Garamond" w:cs="Times New Roman"/>
          <w:sz w:val="24"/>
          <w:szCs w:val="24"/>
        </w:rPr>
        <w:t xml:space="preserve">pecial education costs have increased an average of </w:t>
      </w:r>
      <w:r w:rsidRPr="00651185">
        <w:rPr>
          <w:rFonts w:ascii="Garamond" w:hAnsi="Garamond" w:cs="Times New Roman"/>
          <w:sz w:val="24"/>
          <w:szCs w:val="24"/>
        </w:rPr>
        <w:t>6.1</w:t>
      </w:r>
      <w:r w:rsidR="00BC077E" w:rsidRPr="00651185">
        <w:rPr>
          <w:rFonts w:ascii="Garamond" w:hAnsi="Garamond" w:cs="Times New Roman"/>
          <w:sz w:val="24"/>
          <w:szCs w:val="24"/>
        </w:rPr>
        <w:t>% per year.</w:t>
      </w:r>
    </w:p>
    <w:p w14:paraId="44F0B0C2" w14:textId="77777777" w:rsidR="00BC077E" w:rsidRPr="00651185" w:rsidRDefault="00BC077E" w:rsidP="00BC077E">
      <w:pPr>
        <w:pStyle w:val="ListParagraph"/>
        <w:numPr>
          <w:ilvl w:val="0"/>
          <w:numId w:val="1"/>
        </w:numPr>
        <w:rPr>
          <w:rFonts w:ascii="Garamond" w:hAnsi="Garamond" w:cs="Times New Roman"/>
          <w:sz w:val="24"/>
          <w:szCs w:val="24"/>
        </w:rPr>
      </w:pPr>
      <w:r w:rsidRPr="00651185">
        <w:rPr>
          <w:rFonts w:ascii="Garamond" w:hAnsi="Garamond" w:cs="Times New Roman"/>
          <w:sz w:val="24"/>
          <w:szCs w:val="24"/>
        </w:rPr>
        <w:t>In 2007-08 state and federal special education funding were 41% of what public schools reported spending on special education. By 2017-18 however, that percentage had shrunk to 28.5%.</w:t>
      </w:r>
    </w:p>
    <w:p w14:paraId="60B9CC34" w14:textId="77777777" w:rsidR="009D1BE0" w:rsidRPr="00651185" w:rsidRDefault="009D1BE0" w:rsidP="009D1BE0">
      <w:pPr>
        <w:pStyle w:val="ListParagraph"/>
        <w:numPr>
          <w:ilvl w:val="0"/>
          <w:numId w:val="1"/>
        </w:numPr>
        <w:rPr>
          <w:rFonts w:ascii="Garamond" w:hAnsi="Garamond" w:cs="Times New Roman"/>
          <w:sz w:val="24"/>
          <w:szCs w:val="24"/>
        </w:rPr>
      </w:pPr>
      <w:r w:rsidRPr="00651185">
        <w:rPr>
          <w:rFonts w:ascii="Garamond" w:hAnsi="Garamond" w:cs="Times New Roman"/>
          <w:sz w:val="24"/>
          <w:szCs w:val="24"/>
        </w:rPr>
        <w:t>Despite overall public school enrollments decreasing 2.2% between 2012-13 and 2017-18, the percentage of students identified for special education increased 8.3% in that time. Also, the number of students needing programs and services costing more than $25,000 had increased by 15%.</w:t>
      </w:r>
    </w:p>
    <w:p w14:paraId="52DBDCE7" w14:textId="77777777" w:rsidR="009D1BE0" w:rsidRPr="00651185" w:rsidRDefault="009D1BE0" w:rsidP="009D1BE0">
      <w:pPr>
        <w:pStyle w:val="ListParagraph"/>
        <w:numPr>
          <w:ilvl w:val="0"/>
          <w:numId w:val="1"/>
        </w:numPr>
        <w:rPr>
          <w:rFonts w:ascii="Garamond" w:hAnsi="Garamond" w:cs="Times New Roman"/>
          <w:sz w:val="24"/>
          <w:szCs w:val="24"/>
        </w:rPr>
      </w:pPr>
      <w:r w:rsidRPr="00651185">
        <w:rPr>
          <w:rFonts w:ascii="Garamond" w:hAnsi="Garamond" w:cs="Times New Roman"/>
          <w:sz w:val="24"/>
          <w:szCs w:val="24"/>
        </w:rPr>
        <w:t>Between 2007-08 and 2017-18, the percentage of students in special education has increased nearly 20,000 students while overall public school enrollments have decreased by more than 80,000 students.</w:t>
      </w:r>
    </w:p>
    <w:p w14:paraId="57B666FA" w14:textId="77777777" w:rsidR="00BC077E" w:rsidRPr="00651185" w:rsidRDefault="00BC077E" w:rsidP="00BC077E">
      <w:pPr>
        <w:pStyle w:val="ListParagraph"/>
        <w:numPr>
          <w:ilvl w:val="0"/>
          <w:numId w:val="1"/>
        </w:numPr>
        <w:spacing w:line="254" w:lineRule="auto"/>
        <w:rPr>
          <w:rFonts w:ascii="Garamond" w:hAnsi="Garamond" w:cs="Times New Roman"/>
          <w:sz w:val="24"/>
          <w:szCs w:val="24"/>
        </w:rPr>
      </w:pPr>
      <w:r w:rsidRPr="00651185">
        <w:rPr>
          <w:rFonts w:ascii="Garamond" w:hAnsi="Garamond" w:cs="Times New Roman"/>
          <w:sz w:val="24"/>
          <w:szCs w:val="24"/>
        </w:rPr>
        <w:t>Between 2007-08 and 2017-18:</w:t>
      </w:r>
    </w:p>
    <w:p w14:paraId="0B997597" w14:textId="77777777" w:rsidR="00BC077E" w:rsidRPr="00651185" w:rsidRDefault="00BC077E" w:rsidP="00BC077E">
      <w:pPr>
        <w:pStyle w:val="ListParagraph"/>
        <w:numPr>
          <w:ilvl w:val="1"/>
          <w:numId w:val="1"/>
        </w:numPr>
        <w:spacing w:line="254" w:lineRule="auto"/>
        <w:rPr>
          <w:rFonts w:ascii="Garamond" w:hAnsi="Garamond" w:cs="Times New Roman"/>
          <w:sz w:val="24"/>
          <w:szCs w:val="24"/>
        </w:rPr>
      </w:pPr>
      <w:r w:rsidRPr="00651185">
        <w:rPr>
          <w:rFonts w:ascii="Garamond" w:hAnsi="Garamond" w:cs="Times New Roman"/>
          <w:sz w:val="24"/>
          <w:szCs w:val="24"/>
        </w:rPr>
        <w:t xml:space="preserve">State special education funding increased 11.5% </w:t>
      </w:r>
    </w:p>
    <w:p w14:paraId="1940E37F" w14:textId="77777777" w:rsidR="00BC077E" w:rsidRPr="00651185" w:rsidRDefault="00BC077E" w:rsidP="00BC077E">
      <w:pPr>
        <w:pStyle w:val="ListParagraph"/>
        <w:numPr>
          <w:ilvl w:val="1"/>
          <w:numId w:val="1"/>
        </w:numPr>
        <w:spacing w:line="254" w:lineRule="auto"/>
        <w:rPr>
          <w:rFonts w:ascii="Garamond" w:hAnsi="Garamond" w:cs="Times New Roman"/>
          <w:sz w:val="24"/>
          <w:szCs w:val="24"/>
        </w:rPr>
      </w:pPr>
      <w:r w:rsidRPr="00651185">
        <w:rPr>
          <w:rFonts w:ascii="Garamond" w:hAnsi="Garamond" w:cs="Times New Roman"/>
          <w:sz w:val="24"/>
          <w:szCs w:val="24"/>
        </w:rPr>
        <w:t>Federal special education funding increased 71.8%</w:t>
      </w:r>
    </w:p>
    <w:p w14:paraId="6964371B" w14:textId="77777777" w:rsidR="00BC077E" w:rsidRPr="00651185" w:rsidRDefault="00BC077E" w:rsidP="00BC077E">
      <w:pPr>
        <w:pStyle w:val="ListParagraph"/>
        <w:numPr>
          <w:ilvl w:val="1"/>
          <w:numId w:val="1"/>
        </w:numPr>
        <w:spacing w:line="254" w:lineRule="auto"/>
        <w:rPr>
          <w:rFonts w:ascii="Garamond" w:hAnsi="Garamond" w:cs="Times New Roman"/>
          <w:sz w:val="24"/>
          <w:szCs w:val="24"/>
        </w:rPr>
      </w:pPr>
      <w:r w:rsidRPr="00651185">
        <w:rPr>
          <w:rFonts w:ascii="Garamond" w:hAnsi="Garamond" w:cs="Times New Roman"/>
          <w:sz w:val="24"/>
          <w:szCs w:val="24"/>
        </w:rPr>
        <w:t>Local share of special education funding increased 109.4%</w:t>
      </w:r>
    </w:p>
    <w:p w14:paraId="44A2FAF3" w14:textId="77777777" w:rsidR="00BC077E" w:rsidRPr="00651185" w:rsidRDefault="00BC077E" w:rsidP="00BC077E">
      <w:pPr>
        <w:pStyle w:val="ListParagraph"/>
        <w:numPr>
          <w:ilvl w:val="1"/>
          <w:numId w:val="1"/>
        </w:numPr>
        <w:spacing w:line="254" w:lineRule="auto"/>
        <w:rPr>
          <w:rFonts w:ascii="Garamond" w:hAnsi="Garamond" w:cs="Times New Roman"/>
          <w:sz w:val="24"/>
          <w:szCs w:val="24"/>
        </w:rPr>
      </w:pPr>
      <w:r w:rsidRPr="00651185">
        <w:rPr>
          <w:rFonts w:ascii="Garamond" w:hAnsi="Garamond" w:cs="Times New Roman"/>
          <w:sz w:val="24"/>
          <w:szCs w:val="24"/>
        </w:rPr>
        <w:t>Special education expenses increased 72.8%.</w:t>
      </w:r>
    </w:p>
    <w:tbl>
      <w:tblPr>
        <w:tblStyle w:val="TableGrid"/>
        <w:tblW w:w="0" w:type="auto"/>
        <w:tblLayout w:type="fixed"/>
        <w:tblLook w:val="04A0" w:firstRow="1" w:lastRow="0" w:firstColumn="1" w:lastColumn="0" w:noHBand="0" w:noVBand="1"/>
      </w:tblPr>
      <w:tblGrid>
        <w:gridCol w:w="1435"/>
        <w:gridCol w:w="2087"/>
        <w:gridCol w:w="2088"/>
        <w:gridCol w:w="2088"/>
        <w:gridCol w:w="1652"/>
      </w:tblGrid>
      <w:tr w:rsidR="00BC077E" w:rsidRPr="00651185" w14:paraId="75F34EAB" w14:textId="77777777" w:rsidTr="00254CED">
        <w:trPr>
          <w:trHeight w:val="290"/>
        </w:trPr>
        <w:tc>
          <w:tcPr>
            <w:tcW w:w="1435" w:type="dxa"/>
            <w:noWrap/>
            <w:hideMark/>
          </w:tcPr>
          <w:p w14:paraId="3B820495" w14:textId="77777777" w:rsidR="00BC077E" w:rsidRPr="00651185" w:rsidRDefault="00BC077E" w:rsidP="00254CED">
            <w:pPr>
              <w:rPr>
                <w:rFonts w:ascii="Garamond" w:hAnsi="Garamond"/>
              </w:rPr>
            </w:pPr>
          </w:p>
        </w:tc>
        <w:tc>
          <w:tcPr>
            <w:tcW w:w="2087" w:type="dxa"/>
            <w:tcBorders>
              <w:bottom w:val="single" w:sz="4" w:space="0" w:color="auto"/>
            </w:tcBorders>
            <w:noWrap/>
            <w:hideMark/>
          </w:tcPr>
          <w:p w14:paraId="05F6ACD6" w14:textId="77777777" w:rsidR="00BC077E" w:rsidRPr="00651185" w:rsidRDefault="00BC077E" w:rsidP="00254CED">
            <w:pPr>
              <w:rPr>
                <w:rFonts w:ascii="Garamond" w:hAnsi="Garamond"/>
              </w:rPr>
            </w:pPr>
            <w:r w:rsidRPr="00651185">
              <w:rPr>
                <w:rFonts w:ascii="Garamond" w:hAnsi="Garamond"/>
              </w:rPr>
              <w:t>2007-08</w:t>
            </w:r>
          </w:p>
        </w:tc>
        <w:tc>
          <w:tcPr>
            <w:tcW w:w="2088" w:type="dxa"/>
            <w:tcBorders>
              <w:bottom w:val="single" w:sz="4" w:space="0" w:color="auto"/>
            </w:tcBorders>
            <w:vAlign w:val="bottom"/>
          </w:tcPr>
          <w:p w14:paraId="63514603" w14:textId="77777777" w:rsidR="00BC077E" w:rsidRPr="00651185" w:rsidRDefault="00BC077E" w:rsidP="00254CED">
            <w:pPr>
              <w:rPr>
                <w:rFonts w:ascii="Garamond" w:hAnsi="Garamond"/>
              </w:rPr>
            </w:pPr>
            <w:r w:rsidRPr="00651185">
              <w:rPr>
                <w:rFonts w:ascii="Garamond" w:hAnsi="Garamond"/>
                <w:color w:val="000000"/>
              </w:rPr>
              <w:t>2017-18</w:t>
            </w:r>
          </w:p>
        </w:tc>
        <w:tc>
          <w:tcPr>
            <w:tcW w:w="2088" w:type="dxa"/>
            <w:tcBorders>
              <w:bottom w:val="single" w:sz="4" w:space="0" w:color="auto"/>
            </w:tcBorders>
          </w:tcPr>
          <w:p w14:paraId="3FF7CABD" w14:textId="77777777" w:rsidR="00BC077E" w:rsidRPr="00651185" w:rsidRDefault="00BC077E" w:rsidP="00254CED">
            <w:pPr>
              <w:rPr>
                <w:rFonts w:ascii="Garamond" w:hAnsi="Garamond"/>
                <w:color w:val="000000"/>
              </w:rPr>
            </w:pPr>
            <w:r w:rsidRPr="00651185">
              <w:rPr>
                <w:rFonts w:ascii="Garamond" w:hAnsi="Garamond"/>
                <w:color w:val="000000"/>
              </w:rPr>
              <w:t>$ Change</w:t>
            </w:r>
          </w:p>
        </w:tc>
        <w:tc>
          <w:tcPr>
            <w:tcW w:w="1652" w:type="dxa"/>
          </w:tcPr>
          <w:p w14:paraId="202992D9" w14:textId="77777777" w:rsidR="00BC077E" w:rsidRPr="00651185" w:rsidRDefault="00BC077E" w:rsidP="00254CED">
            <w:pPr>
              <w:rPr>
                <w:rFonts w:ascii="Garamond" w:hAnsi="Garamond"/>
                <w:color w:val="000000"/>
              </w:rPr>
            </w:pPr>
            <w:r w:rsidRPr="00651185">
              <w:rPr>
                <w:rFonts w:ascii="Garamond" w:hAnsi="Garamond"/>
                <w:color w:val="000000"/>
              </w:rPr>
              <w:t>% Change</w:t>
            </w:r>
          </w:p>
        </w:tc>
      </w:tr>
      <w:tr w:rsidR="00BC077E" w:rsidRPr="00651185" w14:paraId="188062D1" w14:textId="77777777" w:rsidTr="00254CED">
        <w:trPr>
          <w:trHeight w:val="290"/>
        </w:trPr>
        <w:tc>
          <w:tcPr>
            <w:tcW w:w="1435" w:type="dxa"/>
            <w:noWrap/>
            <w:hideMark/>
          </w:tcPr>
          <w:p w14:paraId="121DED09" w14:textId="77777777" w:rsidR="00BC077E" w:rsidRPr="00651185" w:rsidRDefault="00BC077E" w:rsidP="00254CED">
            <w:pPr>
              <w:rPr>
                <w:rFonts w:ascii="Garamond" w:hAnsi="Garamond"/>
              </w:rPr>
            </w:pPr>
            <w:r w:rsidRPr="00651185">
              <w:rPr>
                <w:rFonts w:ascii="Garamond" w:hAnsi="Garamond"/>
              </w:rPr>
              <w:t>State</w:t>
            </w:r>
          </w:p>
        </w:tc>
        <w:tc>
          <w:tcPr>
            <w:tcW w:w="2087" w:type="dxa"/>
            <w:tcBorders>
              <w:top w:val="single" w:sz="4" w:space="0" w:color="auto"/>
              <w:left w:val="nil"/>
              <w:bottom w:val="single" w:sz="4" w:space="0" w:color="auto"/>
              <w:right w:val="single" w:sz="4" w:space="0" w:color="auto"/>
            </w:tcBorders>
            <w:shd w:val="clear" w:color="auto" w:fill="auto"/>
            <w:noWrap/>
            <w:vAlign w:val="bottom"/>
            <w:hideMark/>
          </w:tcPr>
          <w:p w14:paraId="211B2FF0" w14:textId="77777777" w:rsidR="00BC077E" w:rsidRPr="00651185" w:rsidRDefault="00BC077E" w:rsidP="00254CED">
            <w:pPr>
              <w:rPr>
                <w:rFonts w:ascii="Garamond" w:hAnsi="Garamond"/>
              </w:rPr>
            </w:pPr>
            <w:r w:rsidRPr="00651185">
              <w:rPr>
                <w:rFonts w:ascii="Garamond" w:hAnsi="Garamond"/>
                <w:color w:val="000000"/>
              </w:rPr>
              <w:t>$956,541,581</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14:paraId="2B0AD079" w14:textId="77777777" w:rsidR="00BC077E" w:rsidRPr="00651185" w:rsidRDefault="00BC077E" w:rsidP="00254CED">
            <w:pPr>
              <w:rPr>
                <w:rFonts w:ascii="Garamond" w:hAnsi="Garamond"/>
              </w:rPr>
            </w:pPr>
            <w:r w:rsidRPr="00651185">
              <w:rPr>
                <w:rFonts w:ascii="Garamond" w:hAnsi="Garamond"/>
                <w:color w:val="000000"/>
              </w:rPr>
              <w:t>$1,066,575,405</w:t>
            </w:r>
          </w:p>
        </w:tc>
        <w:tc>
          <w:tcPr>
            <w:tcW w:w="2088" w:type="dxa"/>
            <w:tcBorders>
              <w:top w:val="single" w:sz="4" w:space="0" w:color="auto"/>
              <w:left w:val="single" w:sz="4" w:space="0" w:color="auto"/>
              <w:bottom w:val="single" w:sz="4" w:space="0" w:color="auto"/>
              <w:right w:val="nil"/>
            </w:tcBorders>
            <w:shd w:val="clear" w:color="auto" w:fill="auto"/>
            <w:vAlign w:val="bottom"/>
          </w:tcPr>
          <w:p w14:paraId="58EC73F8" w14:textId="77777777" w:rsidR="00BC077E" w:rsidRPr="00651185" w:rsidRDefault="00BC077E" w:rsidP="00254CED">
            <w:pPr>
              <w:rPr>
                <w:rFonts w:ascii="Garamond" w:hAnsi="Garamond"/>
                <w:color w:val="000000"/>
              </w:rPr>
            </w:pPr>
            <w:r w:rsidRPr="00651185">
              <w:rPr>
                <w:rFonts w:ascii="Garamond" w:hAnsi="Garamond"/>
                <w:color w:val="000000"/>
              </w:rPr>
              <w:t>$110,033,823</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bottom"/>
          </w:tcPr>
          <w:p w14:paraId="0229CBE9" w14:textId="77777777" w:rsidR="00BC077E" w:rsidRPr="00651185" w:rsidRDefault="00BC077E" w:rsidP="00254CED">
            <w:pPr>
              <w:rPr>
                <w:rFonts w:ascii="Garamond" w:hAnsi="Garamond"/>
                <w:color w:val="000000"/>
              </w:rPr>
            </w:pPr>
            <w:r w:rsidRPr="00651185">
              <w:rPr>
                <w:rFonts w:ascii="Garamond" w:hAnsi="Garamond"/>
                <w:color w:val="000000"/>
              </w:rPr>
              <w:t>11.5%</w:t>
            </w:r>
          </w:p>
        </w:tc>
      </w:tr>
      <w:tr w:rsidR="00BC077E" w:rsidRPr="00651185" w14:paraId="6E2BA24A" w14:textId="77777777" w:rsidTr="00254CED">
        <w:trPr>
          <w:trHeight w:val="290"/>
        </w:trPr>
        <w:tc>
          <w:tcPr>
            <w:tcW w:w="1435" w:type="dxa"/>
            <w:noWrap/>
            <w:hideMark/>
          </w:tcPr>
          <w:p w14:paraId="105BB61C" w14:textId="77777777" w:rsidR="00BC077E" w:rsidRPr="00651185" w:rsidRDefault="00BC077E" w:rsidP="00254CED">
            <w:pPr>
              <w:rPr>
                <w:rFonts w:ascii="Garamond" w:hAnsi="Garamond"/>
              </w:rPr>
            </w:pPr>
            <w:r w:rsidRPr="00651185">
              <w:rPr>
                <w:rFonts w:ascii="Garamond" w:hAnsi="Garamond"/>
              </w:rPr>
              <w:t>Federal</w:t>
            </w:r>
          </w:p>
        </w:tc>
        <w:tc>
          <w:tcPr>
            <w:tcW w:w="2087" w:type="dxa"/>
            <w:tcBorders>
              <w:top w:val="single" w:sz="4" w:space="0" w:color="auto"/>
              <w:left w:val="nil"/>
              <w:bottom w:val="single" w:sz="4" w:space="0" w:color="auto"/>
              <w:right w:val="single" w:sz="4" w:space="0" w:color="auto"/>
            </w:tcBorders>
            <w:shd w:val="clear" w:color="auto" w:fill="auto"/>
            <w:noWrap/>
            <w:vAlign w:val="bottom"/>
            <w:hideMark/>
          </w:tcPr>
          <w:p w14:paraId="296613E9" w14:textId="77777777" w:rsidR="00BC077E" w:rsidRPr="00651185" w:rsidRDefault="00BC077E" w:rsidP="00254CED">
            <w:pPr>
              <w:rPr>
                <w:rFonts w:ascii="Garamond" w:hAnsi="Garamond"/>
              </w:rPr>
            </w:pPr>
            <w:r w:rsidRPr="00651185">
              <w:rPr>
                <w:rFonts w:ascii="Garamond" w:hAnsi="Garamond"/>
                <w:color w:val="000000"/>
              </w:rPr>
              <w:t>$160,617,449</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14:paraId="4C168CEA" w14:textId="77777777" w:rsidR="00BC077E" w:rsidRPr="00651185" w:rsidRDefault="00BC077E" w:rsidP="00254CED">
            <w:pPr>
              <w:rPr>
                <w:rFonts w:ascii="Garamond" w:hAnsi="Garamond"/>
              </w:rPr>
            </w:pPr>
            <w:r w:rsidRPr="00651185">
              <w:rPr>
                <w:rFonts w:ascii="Garamond" w:hAnsi="Garamond"/>
                <w:color w:val="000000"/>
              </w:rPr>
              <w:t>$275,903,734</w:t>
            </w:r>
          </w:p>
        </w:tc>
        <w:tc>
          <w:tcPr>
            <w:tcW w:w="2088" w:type="dxa"/>
            <w:tcBorders>
              <w:top w:val="single" w:sz="4" w:space="0" w:color="auto"/>
              <w:left w:val="single" w:sz="4" w:space="0" w:color="auto"/>
              <w:bottom w:val="single" w:sz="4" w:space="0" w:color="auto"/>
              <w:right w:val="nil"/>
            </w:tcBorders>
            <w:shd w:val="clear" w:color="auto" w:fill="auto"/>
            <w:vAlign w:val="bottom"/>
          </w:tcPr>
          <w:p w14:paraId="1828BA7D" w14:textId="77777777" w:rsidR="00BC077E" w:rsidRPr="00651185" w:rsidRDefault="00BC077E" w:rsidP="00254CED">
            <w:pPr>
              <w:rPr>
                <w:rFonts w:ascii="Garamond" w:hAnsi="Garamond"/>
                <w:color w:val="000000"/>
              </w:rPr>
            </w:pPr>
            <w:r w:rsidRPr="00651185">
              <w:rPr>
                <w:rFonts w:ascii="Garamond" w:hAnsi="Garamond"/>
                <w:color w:val="000000"/>
              </w:rPr>
              <w:t>$115,286,285</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bottom"/>
          </w:tcPr>
          <w:p w14:paraId="6D86F9D7" w14:textId="77777777" w:rsidR="00BC077E" w:rsidRPr="00651185" w:rsidRDefault="00BC077E" w:rsidP="00254CED">
            <w:pPr>
              <w:rPr>
                <w:rFonts w:ascii="Garamond" w:hAnsi="Garamond"/>
                <w:color w:val="000000"/>
              </w:rPr>
            </w:pPr>
            <w:r w:rsidRPr="00651185">
              <w:rPr>
                <w:rFonts w:ascii="Garamond" w:hAnsi="Garamond"/>
                <w:color w:val="000000"/>
              </w:rPr>
              <w:t>71.8%</w:t>
            </w:r>
          </w:p>
        </w:tc>
      </w:tr>
      <w:tr w:rsidR="00BC077E" w:rsidRPr="00651185" w14:paraId="42A8A5A0" w14:textId="77777777" w:rsidTr="00254CED">
        <w:trPr>
          <w:trHeight w:val="290"/>
        </w:trPr>
        <w:tc>
          <w:tcPr>
            <w:tcW w:w="1435" w:type="dxa"/>
            <w:noWrap/>
            <w:hideMark/>
          </w:tcPr>
          <w:p w14:paraId="1AFDF462" w14:textId="77777777" w:rsidR="00BC077E" w:rsidRPr="00651185" w:rsidRDefault="00BC077E" w:rsidP="00254CED">
            <w:pPr>
              <w:rPr>
                <w:rFonts w:ascii="Garamond" w:hAnsi="Garamond"/>
              </w:rPr>
            </w:pPr>
            <w:r w:rsidRPr="00651185">
              <w:rPr>
                <w:rFonts w:ascii="Garamond" w:hAnsi="Garamond"/>
              </w:rPr>
              <w:t>Local</w:t>
            </w:r>
          </w:p>
        </w:tc>
        <w:tc>
          <w:tcPr>
            <w:tcW w:w="2087" w:type="dxa"/>
            <w:tcBorders>
              <w:top w:val="single" w:sz="4" w:space="0" w:color="auto"/>
              <w:left w:val="nil"/>
              <w:bottom w:val="single" w:sz="4" w:space="0" w:color="auto"/>
              <w:right w:val="single" w:sz="4" w:space="0" w:color="auto"/>
            </w:tcBorders>
            <w:shd w:val="clear" w:color="auto" w:fill="auto"/>
            <w:noWrap/>
            <w:vAlign w:val="bottom"/>
            <w:hideMark/>
          </w:tcPr>
          <w:p w14:paraId="1B95250D" w14:textId="77777777" w:rsidR="00BC077E" w:rsidRPr="00651185" w:rsidRDefault="00BC077E" w:rsidP="00254CED">
            <w:pPr>
              <w:rPr>
                <w:rFonts w:ascii="Garamond" w:hAnsi="Garamond"/>
              </w:rPr>
            </w:pPr>
            <w:r w:rsidRPr="00651185">
              <w:rPr>
                <w:rFonts w:ascii="Garamond" w:hAnsi="Garamond"/>
                <w:color w:val="000000"/>
              </w:rPr>
              <w:t>$1,605,454,623</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14:paraId="43BB2835" w14:textId="77777777" w:rsidR="00BC077E" w:rsidRPr="00651185" w:rsidRDefault="00BC077E" w:rsidP="00254CED">
            <w:pPr>
              <w:rPr>
                <w:rFonts w:ascii="Garamond" w:hAnsi="Garamond"/>
              </w:rPr>
            </w:pPr>
            <w:r w:rsidRPr="00651185">
              <w:rPr>
                <w:rFonts w:ascii="Garamond" w:hAnsi="Garamond"/>
                <w:color w:val="000000"/>
              </w:rPr>
              <w:t>$3,361,936,984</w:t>
            </w:r>
          </w:p>
        </w:tc>
        <w:tc>
          <w:tcPr>
            <w:tcW w:w="2088" w:type="dxa"/>
            <w:tcBorders>
              <w:top w:val="single" w:sz="4" w:space="0" w:color="auto"/>
              <w:left w:val="single" w:sz="4" w:space="0" w:color="auto"/>
              <w:bottom w:val="single" w:sz="4" w:space="0" w:color="auto"/>
              <w:right w:val="nil"/>
            </w:tcBorders>
            <w:shd w:val="clear" w:color="auto" w:fill="auto"/>
            <w:vAlign w:val="bottom"/>
          </w:tcPr>
          <w:p w14:paraId="7E0253D7" w14:textId="77777777" w:rsidR="00BC077E" w:rsidRPr="00651185" w:rsidRDefault="00BC077E" w:rsidP="00254CED">
            <w:pPr>
              <w:rPr>
                <w:rFonts w:ascii="Garamond" w:hAnsi="Garamond"/>
                <w:color w:val="000000"/>
              </w:rPr>
            </w:pPr>
            <w:r w:rsidRPr="00651185">
              <w:rPr>
                <w:rFonts w:ascii="Garamond" w:hAnsi="Garamond"/>
                <w:color w:val="000000"/>
              </w:rPr>
              <w:t>$1,756,482,362</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bottom"/>
          </w:tcPr>
          <w:p w14:paraId="3A575019" w14:textId="77777777" w:rsidR="00BC077E" w:rsidRPr="00651185" w:rsidRDefault="00BC077E" w:rsidP="00254CED">
            <w:pPr>
              <w:rPr>
                <w:rFonts w:ascii="Garamond" w:hAnsi="Garamond"/>
                <w:color w:val="000000"/>
              </w:rPr>
            </w:pPr>
            <w:r w:rsidRPr="00651185">
              <w:rPr>
                <w:rFonts w:ascii="Garamond" w:hAnsi="Garamond"/>
                <w:color w:val="000000"/>
              </w:rPr>
              <w:t>109.4%</w:t>
            </w:r>
          </w:p>
        </w:tc>
      </w:tr>
      <w:tr w:rsidR="00BC077E" w:rsidRPr="00651185" w14:paraId="629640A5" w14:textId="77777777" w:rsidTr="00254CED">
        <w:trPr>
          <w:trHeight w:val="290"/>
        </w:trPr>
        <w:tc>
          <w:tcPr>
            <w:tcW w:w="1435" w:type="dxa"/>
            <w:noWrap/>
            <w:hideMark/>
          </w:tcPr>
          <w:p w14:paraId="5AE6BD18" w14:textId="77777777" w:rsidR="00BC077E" w:rsidRPr="00651185" w:rsidRDefault="00BC077E" w:rsidP="00254CED">
            <w:pPr>
              <w:rPr>
                <w:rFonts w:ascii="Garamond" w:hAnsi="Garamond"/>
              </w:rPr>
            </w:pPr>
            <w:r w:rsidRPr="00651185">
              <w:rPr>
                <w:rFonts w:ascii="Garamond" w:hAnsi="Garamond"/>
              </w:rPr>
              <w:t>Expenses</w:t>
            </w:r>
          </w:p>
        </w:tc>
        <w:tc>
          <w:tcPr>
            <w:tcW w:w="2087" w:type="dxa"/>
            <w:tcBorders>
              <w:top w:val="single" w:sz="4" w:space="0" w:color="auto"/>
              <w:left w:val="nil"/>
              <w:bottom w:val="single" w:sz="4" w:space="0" w:color="auto"/>
              <w:right w:val="single" w:sz="4" w:space="0" w:color="auto"/>
            </w:tcBorders>
            <w:shd w:val="clear" w:color="auto" w:fill="auto"/>
            <w:noWrap/>
            <w:vAlign w:val="bottom"/>
            <w:hideMark/>
          </w:tcPr>
          <w:p w14:paraId="60F136FB" w14:textId="77777777" w:rsidR="00BC077E" w:rsidRPr="00651185" w:rsidRDefault="00BC077E" w:rsidP="00254CED">
            <w:pPr>
              <w:rPr>
                <w:rFonts w:ascii="Garamond" w:hAnsi="Garamond"/>
              </w:rPr>
            </w:pPr>
            <w:r w:rsidRPr="00651185">
              <w:rPr>
                <w:rFonts w:ascii="Garamond" w:hAnsi="Garamond"/>
                <w:color w:val="000000"/>
              </w:rPr>
              <w:t>$2,722,613,653</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14:paraId="20D71F4A" w14:textId="77777777" w:rsidR="00BC077E" w:rsidRPr="00651185" w:rsidRDefault="00BC077E" w:rsidP="00254CED">
            <w:pPr>
              <w:rPr>
                <w:rFonts w:ascii="Garamond" w:hAnsi="Garamond"/>
              </w:rPr>
            </w:pPr>
            <w:r w:rsidRPr="00651185">
              <w:rPr>
                <w:rFonts w:ascii="Garamond" w:hAnsi="Garamond"/>
                <w:color w:val="000000"/>
              </w:rPr>
              <w:t>$4,704,416,122</w:t>
            </w:r>
          </w:p>
        </w:tc>
        <w:tc>
          <w:tcPr>
            <w:tcW w:w="2088" w:type="dxa"/>
            <w:tcBorders>
              <w:top w:val="single" w:sz="4" w:space="0" w:color="auto"/>
              <w:left w:val="single" w:sz="4" w:space="0" w:color="auto"/>
              <w:bottom w:val="single" w:sz="4" w:space="0" w:color="auto"/>
              <w:right w:val="nil"/>
            </w:tcBorders>
            <w:shd w:val="clear" w:color="auto" w:fill="auto"/>
            <w:vAlign w:val="bottom"/>
          </w:tcPr>
          <w:p w14:paraId="77D82721" w14:textId="77777777" w:rsidR="00BC077E" w:rsidRPr="00651185" w:rsidRDefault="00BC077E" w:rsidP="00254CED">
            <w:pPr>
              <w:rPr>
                <w:rFonts w:ascii="Garamond" w:hAnsi="Garamond"/>
                <w:color w:val="000000"/>
              </w:rPr>
            </w:pPr>
            <w:r w:rsidRPr="00651185">
              <w:rPr>
                <w:rFonts w:ascii="Garamond" w:hAnsi="Garamond"/>
                <w:color w:val="000000"/>
              </w:rPr>
              <w:t>$1,981,802,470</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bottom"/>
          </w:tcPr>
          <w:p w14:paraId="3A62279B" w14:textId="77777777" w:rsidR="00BC077E" w:rsidRPr="00651185" w:rsidRDefault="00BC077E" w:rsidP="00254CED">
            <w:pPr>
              <w:rPr>
                <w:rFonts w:ascii="Garamond" w:hAnsi="Garamond"/>
                <w:color w:val="000000"/>
              </w:rPr>
            </w:pPr>
            <w:r w:rsidRPr="00651185">
              <w:rPr>
                <w:rFonts w:ascii="Garamond" w:hAnsi="Garamond"/>
                <w:color w:val="000000"/>
              </w:rPr>
              <w:t>72.8%</w:t>
            </w:r>
          </w:p>
        </w:tc>
      </w:tr>
    </w:tbl>
    <w:p w14:paraId="393AE3E4" w14:textId="77777777" w:rsidR="00BC077E" w:rsidRPr="00651185" w:rsidRDefault="00BC077E" w:rsidP="00BC077E">
      <w:pPr>
        <w:rPr>
          <w:rFonts w:ascii="Garamond" w:hAnsi="Garamond"/>
        </w:rPr>
      </w:pPr>
    </w:p>
    <w:p w14:paraId="23457586" w14:textId="77777777" w:rsidR="00BC077E" w:rsidRPr="00651185" w:rsidRDefault="00BC077E" w:rsidP="00BC077E">
      <w:pPr>
        <w:rPr>
          <w:rFonts w:ascii="Garamond" w:hAnsi="Garamond"/>
        </w:rPr>
      </w:pPr>
    </w:p>
    <w:p w14:paraId="3ABA6B66" w14:textId="5349D2A3" w:rsidR="00BC077E" w:rsidRPr="00651185" w:rsidRDefault="00C06B7A" w:rsidP="00BC077E">
      <w:pPr>
        <w:rPr>
          <w:rFonts w:ascii="Garamond" w:hAnsi="Garamond"/>
        </w:rPr>
      </w:pPr>
      <w:r w:rsidRPr="00651185">
        <w:rPr>
          <w:rFonts w:ascii="Garamond" w:hAnsi="Garamond"/>
          <w:noProof/>
        </w:rPr>
        <w:drawing>
          <wp:inline distT="0" distB="0" distL="0" distR="0" wp14:anchorId="32FBA7CC" wp14:editId="2C04651F">
            <wp:extent cx="5943600" cy="3200400"/>
            <wp:effectExtent l="0" t="0" r="0" b="0"/>
            <wp:docPr id="8" name="Chart 8">
              <a:extLst xmlns:a="http://schemas.openxmlformats.org/drawingml/2006/main">
                <a:ext uri="{FF2B5EF4-FFF2-40B4-BE49-F238E27FC236}">
                  <a16:creationId xmlns:a16="http://schemas.microsoft.com/office/drawing/2014/main" id="{93DDA8E4-A5E0-4D52-96B0-FE8D5321A0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6E7FEFE" w14:textId="77777777" w:rsidR="006611CB" w:rsidRPr="00651185" w:rsidRDefault="006611CB" w:rsidP="00BC077E">
      <w:pPr>
        <w:rPr>
          <w:rFonts w:ascii="Garamond" w:hAnsi="Garamond"/>
        </w:rPr>
      </w:pPr>
    </w:p>
    <w:p w14:paraId="53F997FC" w14:textId="7502BAF5" w:rsidR="00BC077E" w:rsidRPr="00651185" w:rsidRDefault="006611CB" w:rsidP="00BC077E">
      <w:pPr>
        <w:rPr>
          <w:rFonts w:ascii="Garamond" w:hAnsi="Garamond"/>
        </w:rPr>
      </w:pPr>
      <w:r w:rsidRPr="00651185">
        <w:rPr>
          <w:rFonts w:ascii="Garamond" w:hAnsi="Garamond"/>
        </w:rPr>
        <w:t xml:space="preserve">The </w:t>
      </w:r>
      <w:r w:rsidR="001C2579" w:rsidRPr="00651185">
        <w:rPr>
          <w:rFonts w:ascii="Garamond" w:hAnsi="Garamond"/>
        </w:rPr>
        <w:t xml:space="preserve">state </w:t>
      </w:r>
      <w:r w:rsidRPr="00651185">
        <w:rPr>
          <w:rFonts w:ascii="Garamond" w:hAnsi="Garamond"/>
        </w:rPr>
        <w:t xml:space="preserve">has begun to significantly increase the appropriation </w:t>
      </w:r>
      <w:r w:rsidR="001C2579" w:rsidRPr="00651185">
        <w:rPr>
          <w:rFonts w:ascii="Garamond" w:hAnsi="Garamond"/>
        </w:rPr>
        <w:t>for special education</w:t>
      </w:r>
      <w:r w:rsidRPr="00651185">
        <w:rPr>
          <w:rFonts w:ascii="Garamond" w:hAnsi="Garamond"/>
        </w:rPr>
        <w:t xml:space="preserve">, but </w:t>
      </w:r>
      <w:r w:rsidR="00C369D3" w:rsidRPr="00651185">
        <w:rPr>
          <w:rFonts w:ascii="Garamond" w:hAnsi="Garamond"/>
        </w:rPr>
        <w:t xml:space="preserve">the growth of students identified for </w:t>
      </w:r>
      <w:r w:rsidRPr="00651185">
        <w:rPr>
          <w:rFonts w:ascii="Garamond" w:hAnsi="Garamond"/>
        </w:rPr>
        <w:t>this mandated service makes it difficult to keep up with increased expenses.</w:t>
      </w:r>
    </w:p>
    <w:p w14:paraId="29487F48" w14:textId="77777777" w:rsidR="006611CB" w:rsidRPr="00651185" w:rsidRDefault="006611CB" w:rsidP="00BC077E">
      <w:pPr>
        <w:rPr>
          <w:rFonts w:ascii="Garamond" w:hAnsi="Garamond"/>
        </w:rPr>
      </w:pPr>
    </w:p>
    <w:p w14:paraId="5D47B3BD" w14:textId="086D63CB" w:rsidR="00BC077E" w:rsidRPr="00651185" w:rsidRDefault="00C50FC8" w:rsidP="00BC077E">
      <w:pPr>
        <w:rPr>
          <w:rFonts w:ascii="Garamond" w:hAnsi="Garamond"/>
        </w:rPr>
      </w:pPr>
      <w:r w:rsidRPr="00651185">
        <w:rPr>
          <w:rFonts w:ascii="Garamond" w:hAnsi="Garamond"/>
          <w:noProof/>
        </w:rPr>
        <mc:AlternateContent>
          <mc:Choice Requires="wps">
            <w:drawing>
              <wp:anchor distT="0" distB="0" distL="114300" distR="114300" simplePos="0" relativeHeight="251661312" behindDoc="0" locked="0" layoutInCell="1" allowOverlap="1" wp14:anchorId="4D30558C" wp14:editId="20F66DC1">
                <wp:simplePos x="0" y="0"/>
                <wp:positionH relativeFrom="column">
                  <wp:posOffset>3571875</wp:posOffset>
                </wp:positionH>
                <wp:positionV relativeFrom="paragraph">
                  <wp:posOffset>752475</wp:posOffset>
                </wp:positionV>
                <wp:extent cx="1000125" cy="33337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1000125" cy="333375"/>
                        </a:xfrm>
                        <a:prstGeom prst="rect">
                          <a:avLst/>
                        </a:prstGeom>
                        <a:solidFill>
                          <a:schemeClr val="lt1"/>
                        </a:solidFill>
                        <a:ln w="6350">
                          <a:noFill/>
                        </a:ln>
                      </wps:spPr>
                      <wps:txbx>
                        <w:txbxContent>
                          <w:p w14:paraId="33571E99" w14:textId="77777777" w:rsidR="00C50FC8" w:rsidRDefault="00C50FC8" w:rsidP="00C50FC8">
                            <w:pPr>
                              <w:rPr>
                                <w:sz w:val="21"/>
                                <w:szCs w:val="21"/>
                              </w:rPr>
                            </w:pPr>
                            <w:r>
                              <w:rPr>
                                <w:sz w:val="21"/>
                                <w:szCs w:val="21"/>
                              </w:rPr>
                              <w:t xml:space="preserve">Up 15.6% since </w:t>
                            </w:r>
                          </w:p>
                          <w:p w14:paraId="550F3572" w14:textId="60ABA148" w:rsidR="00C50FC8" w:rsidRPr="00B47BD0" w:rsidRDefault="00C50FC8" w:rsidP="00C50FC8">
                            <w:pPr>
                              <w:rPr>
                                <w:sz w:val="21"/>
                                <w:szCs w:val="21"/>
                              </w:rPr>
                            </w:pPr>
                            <w:r>
                              <w:rPr>
                                <w:sz w:val="21"/>
                                <w:szCs w:val="21"/>
                              </w:rPr>
                              <w:t>2013-14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0558C" id="_x0000_t202" coordsize="21600,21600" o:spt="202" path="m,l,21600r21600,l21600,xe">
                <v:stroke joinstyle="miter"/>
                <v:path gradientshapeok="t" o:connecttype="rect"/>
              </v:shapetype>
              <v:shape id="Text Box 11" o:spid="_x0000_s1026" type="#_x0000_t202" style="position:absolute;margin-left:281.25pt;margin-top:59.25pt;width:78.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" fillcolor="white [3201]" stroked="f" strokeweight=".5pt">
                <v:textbox inset="0,0,0,0">
                  <w:txbxContent>
                    <w:p w14:paraId="33571E99" w14:textId="77777777" w:rsidR="00C50FC8" w:rsidRDefault="00C50FC8" w:rsidP="00C50FC8">
                      <w:pPr>
                        <w:rPr>
                          <w:sz w:val="21"/>
                          <w:szCs w:val="21"/>
                        </w:rPr>
                      </w:pPr>
                      <w:r>
                        <w:rPr>
                          <w:sz w:val="21"/>
                          <w:szCs w:val="21"/>
                        </w:rPr>
                        <w:t xml:space="preserve">Up 15.6% since </w:t>
                      </w:r>
                    </w:p>
                    <w:p w14:paraId="550F3572" w14:textId="60ABA148" w:rsidR="00C50FC8" w:rsidRPr="00B47BD0" w:rsidRDefault="00C50FC8" w:rsidP="00C50FC8">
                      <w:pPr>
                        <w:rPr>
                          <w:sz w:val="21"/>
                          <w:szCs w:val="21"/>
                        </w:rPr>
                      </w:pPr>
                      <w:r>
                        <w:rPr>
                          <w:sz w:val="21"/>
                          <w:szCs w:val="21"/>
                        </w:rPr>
                        <w:t>2013-14</w:t>
                      </w:r>
                    </w:p>
                  </w:txbxContent>
                </v:textbox>
              </v:shape>
            </w:pict>
          </mc:Fallback>
        </mc:AlternateContent>
      </w:r>
      <w:r w:rsidRPr="00651185">
        <w:rPr>
          <w:rFonts w:ascii="Garamond" w:hAnsi="Garamond"/>
          <w:noProof/>
        </w:rPr>
        <mc:AlternateContent>
          <mc:Choice Requires="wps">
            <w:drawing>
              <wp:anchor distT="0" distB="0" distL="114300" distR="114300" simplePos="0" relativeHeight="251659264" behindDoc="0" locked="0" layoutInCell="1" allowOverlap="1" wp14:anchorId="1810EC6C" wp14:editId="0AAFDB64">
                <wp:simplePos x="0" y="0"/>
                <wp:positionH relativeFrom="column">
                  <wp:posOffset>1238250</wp:posOffset>
                </wp:positionH>
                <wp:positionV relativeFrom="paragraph">
                  <wp:posOffset>1543050</wp:posOffset>
                </wp:positionV>
                <wp:extent cx="1571625" cy="36195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1571625" cy="361950"/>
                        </a:xfrm>
                        <a:prstGeom prst="rect">
                          <a:avLst/>
                        </a:prstGeom>
                        <a:solidFill>
                          <a:schemeClr val="lt1"/>
                        </a:solidFill>
                        <a:ln w="6350">
                          <a:noFill/>
                        </a:ln>
                      </wps:spPr>
                      <wps:txbx>
                        <w:txbxContent>
                          <w:p w14:paraId="50BC0531" w14:textId="1B12B1C7" w:rsidR="00C50FC8" w:rsidRPr="00B47BD0" w:rsidRDefault="00C50FC8">
                            <w:pPr>
                              <w:rPr>
                                <w:sz w:val="21"/>
                                <w:szCs w:val="21"/>
                              </w:rPr>
                            </w:pPr>
                            <w:r w:rsidRPr="00B47BD0">
                              <w:rPr>
                                <w:sz w:val="21"/>
                                <w:szCs w:val="21"/>
                              </w:rPr>
                              <w:t xml:space="preserve">Level funded for 5 </w:t>
                            </w:r>
                            <w:proofErr w:type="spellStart"/>
                            <w:r w:rsidRPr="00B47BD0">
                              <w:rPr>
                                <w:sz w:val="21"/>
                                <w:szCs w:val="21"/>
                              </w:rPr>
                              <w:t>yrs</w:t>
                            </w:r>
                            <w:proofErr w:type="spellEnd"/>
                            <w:r w:rsidRPr="00B47BD0">
                              <w:rPr>
                                <w:sz w:val="21"/>
                                <w:szCs w:val="21"/>
                              </w:rPr>
                              <w:t xml:space="preserve"> while expenses rose $659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0EC6C" id="Text Box 10" o:spid="_x0000_s1027" type="#_x0000_t202" style="position:absolute;margin-left:97.5pt;margin-top:121.5pt;width:123.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" fillcolor="white [3201]" stroked="f" strokeweight=".5pt">
                <v:textbox inset="0,0,0,0">
                  <w:txbxContent>
                    <w:p w14:paraId="50BC0531" w14:textId="1B12B1C7" w:rsidR="00C50FC8" w:rsidRPr="00B47BD0" w:rsidRDefault="00C50FC8">
                      <w:pPr>
                        <w:rPr>
                          <w:sz w:val="21"/>
                          <w:szCs w:val="21"/>
                        </w:rPr>
                      </w:pPr>
                      <w:r w:rsidRPr="00B47BD0">
                        <w:rPr>
                          <w:sz w:val="21"/>
                          <w:szCs w:val="21"/>
                        </w:rPr>
                        <w:t xml:space="preserve">Level funded for 5 </w:t>
                      </w:r>
                      <w:proofErr w:type="spellStart"/>
                      <w:r w:rsidRPr="00B47BD0">
                        <w:rPr>
                          <w:sz w:val="21"/>
                          <w:szCs w:val="21"/>
                        </w:rPr>
                        <w:t>yrs</w:t>
                      </w:r>
                      <w:proofErr w:type="spellEnd"/>
                      <w:r w:rsidRPr="00B47BD0">
                        <w:rPr>
                          <w:sz w:val="21"/>
                          <w:szCs w:val="21"/>
                        </w:rPr>
                        <w:t xml:space="preserve"> while expenses rose $659 M</w:t>
                      </w:r>
                    </w:p>
                  </w:txbxContent>
                </v:textbox>
              </v:shape>
            </w:pict>
          </mc:Fallback>
        </mc:AlternateContent>
      </w:r>
      <w:r w:rsidR="00C06B7A" w:rsidRPr="00651185">
        <w:rPr>
          <w:rFonts w:ascii="Garamond" w:hAnsi="Garamond"/>
          <w:noProof/>
        </w:rPr>
        <w:drawing>
          <wp:inline distT="0" distB="0" distL="0" distR="0" wp14:anchorId="79773091" wp14:editId="08DD7CF8">
            <wp:extent cx="5943600" cy="3200400"/>
            <wp:effectExtent l="0" t="0" r="0" b="0"/>
            <wp:docPr id="9" name="Chart 9">
              <a:extLst xmlns:a="http://schemas.openxmlformats.org/drawingml/2006/main">
                <a:ext uri="{FF2B5EF4-FFF2-40B4-BE49-F238E27FC236}">
                  <a16:creationId xmlns:a16="http://schemas.microsoft.com/office/drawing/2014/main" id="{BF70F592-73D9-4D97-9CDF-BD6FD7273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2C7378C" w14:textId="6C415B08" w:rsidR="00BC077E" w:rsidRPr="00651185" w:rsidRDefault="00C50FC8" w:rsidP="00C50FC8">
      <w:pPr>
        <w:rPr>
          <w:rFonts w:ascii="Garamond" w:hAnsi="Garamond"/>
          <w:i/>
          <w:sz w:val="22"/>
        </w:rPr>
      </w:pPr>
      <w:r w:rsidRPr="00651185">
        <w:rPr>
          <w:rFonts w:ascii="Garamond" w:hAnsi="Garamond"/>
          <w:i/>
          <w:sz w:val="22"/>
        </w:rPr>
        <w:t>* Based on amount appropriated in special education line item of state budget.</w:t>
      </w:r>
    </w:p>
    <w:p w14:paraId="6F1F3C89" w14:textId="77777777" w:rsidR="00C50FC8" w:rsidRPr="00651185" w:rsidRDefault="00C50FC8" w:rsidP="00BC077E">
      <w:pPr>
        <w:rPr>
          <w:rFonts w:ascii="Garamond" w:hAnsi="Garamond"/>
        </w:rPr>
      </w:pPr>
    </w:p>
    <w:p w14:paraId="4FAAC030" w14:textId="259B3394" w:rsidR="00BC077E" w:rsidRPr="00651185" w:rsidRDefault="00BC077E" w:rsidP="00BC077E">
      <w:pPr>
        <w:rPr>
          <w:rFonts w:ascii="Garamond" w:hAnsi="Garamond"/>
        </w:rPr>
      </w:pPr>
      <w:r w:rsidRPr="00651185">
        <w:rPr>
          <w:rFonts w:ascii="Garamond" w:hAnsi="Garamond"/>
        </w:rPr>
        <w:t>The deficit of state and federal special education appropriations results in an increased reliance on local funding such as property taxes to fill the gap. With state and federal funding making up around 30% of what schools spend for special education in the current school year, the remaining 70%, an estimated $3.5 billion will have to come from local sources.</w:t>
      </w:r>
      <w:r w:rsidR="009D1BE0" w:rsidRPr="00651185">
        <w:rPr>
          <w:rFonts w:ascii="Garamond" w:hAnsi="Garamond"/>
        </w:rPr>
        <w:t xml:space="preserve">  </w:t>
      </w:r>
      <w:r w:rsidRPr="00651185">
        <w:rPr>
          <w:rFonts w:ascii="Garamond" w:hAnsi="Garamond"/>
        </w:rPr>
        <w:t xml:space="preserve">Although most districts approved for an Act 1 referendum exemption never use them, 93% of </w:t>
      </w:r>
      <w:r w:rsidR="00C06B7A" w:rsidRPr="00651185">
        <w:rPr>
          <w:rFonts w:ascii="Garamond" w:hAnsi="Garamond"/>
        </w:rPr>
        <w:t xml:space="preserve">84 </w:t>
      </w:r>
      <w:r w:rsidRPr="00651185">
        <w:rPr>
          <w:rFonts w:ascii="Garamond" w:hAnsi="Garamond"/>
        </w:rPr>
        <w:t xml:space="preserve">school districts </w:t>
      </w:r>
      <w:r w:rsidR="00C06B7A" w:rsidRPr="00651185">
        <w:rPr>
          <w:rFonts w:ascii="Garamond" w:hAnsi="Garamond"/>
        </w:rPr>
        <w:t>approved for</w:t>
      </w:r>
      <w:r w:rsidRPr="00651185">
        <w:rPr>
          <w:rFonts w:ascii="Garamond" w:hAnsi="Garamond"/>
        </w:rPr>
        <w:t xml:space="preserve"> an exemption to Act 1’s tax increase limit in 2019-20 requested the exemption due to special education costs.</w:t>
      </w:r>
      <w:r w:rsidR="009D1BE0" w:rsidRPr="00651185">
        <w:rPr>
          <w:rFonts w:ascii="Garamond" w:hAnsi="Garamond"/>
        </w:rPr>
        <w:t xml:space="preserve"> Special education costs correlate with property tax increases.  </w:t>
      </w:r>
    </w:p>
    <w:p w14:paraId="649BD278" w14:textId="77777777" w:rsidR="00BC077E" w:rsidRPr="00651185" w:rsidRDefault="00BC077E" w:rsidP="00BC077E">
      <w:pPr>
        <w:rPr>
          <w:rFonts w:ascii="Garamond" w:hAnsi="Garamond"/>
        </w:rPr>
      </w:pPr>
    </w:p>
    <w:p w14:paraId="48E6280D" w14:textId="502ABBD8" w:rsidR="00BC077E" w:rsidRPr="00651185" w:rsidRDefault="00C369D3" w:rsidP="00BC077E">
      <w:pPr>
        <w:rPr>
          <w:rFonts w:ascii="Garamond" w:hAnsi="Garamond"/>
        </w:rPr>
      </w:pPr>
      <w:r w:rsidRPr="00651185">
        <w:rPr>
          <w:rFonts w:ascii="Garamond" w:hAnsi="Garamond"/>
        </w:rPr>
        <w:t>I would emphasize again that</w:t>
      </w:r>
      <w:r w:rsidR="009D1BE0" w:rsidRPr="00651185">
        <w:rPr>
          <w:rFonts w:ascii="Garamond" w:hAnsi="Garamond"/>
        </w:rPr>
        <w:t xml:space="preserve"> t</w:t>
      </w:r>
      <w:r w:rsidR="00BC077E" w:rsidRPr="00651185">
        <w:rPr>
          <w:rFonts w:ascii="Garamond" w:hAnsi="Garamond"/>
        </w:rPr>
        <w:t>his is not solely a state funding problem. Pennsylvania schools could have received another $750 million dollars in 2017-18 from the federal government through IDEA if the program were “fully funded</w:t>
      </w:r>
      <w:r w:rsidRPr="00651185">
        <w:rPr>
          <w:rFonts w:ascii="Garamond" w:hAnsi="Garamond"/>
        </w:rPr>
        <w:t>.</w:t>
      </w:r>
      <w:r w:rsidR="00BC077E" w:rsidRPr="00651185">
        <w:rPr>
          <w:rFonts w:ascii="Garamond" w:hAnsi="Garamond"/>
        </w:rPr>
        <w:t>”</w:t>
      </w:r>
    </w:p>
    <w:p w14:paraId="409B4820" w14:textId="77777777" w:rsidR="00BC077E" w:rsidRPr="00651185" w:rsidRDefault="00BC077E" w:rsidP="00BC077E">
      <w:pPr>
        <w:rPr>
          <w:rFonts w:ascii="Garamond" w:hAnsi="Garamond"/>
        </w:rPr>
      </w:pPr>
    </w:p>
    <w:p w14:paraId="22FF9817" w14:textId="12753972" w:rsidR="00BC077E" w:rsidRPr="00651185" w:rsidRDefault="00BC077E" w:rsidP="00BC077E">
      <w:pPr>
        <w:rPr>
          <w:rFonts w:ascii="Garamond" w:hAnsi="Garamond"/>
        </w:rPr>
      </w:pPr>
      <w:r w:rsidRPr="00651185">
        <w:rPr>
          <w:rFonts w:ascii="Garamond" w:hAnsi="Garamond"/>
        </w:rPr>
        <w:t>In the 2007-08 school year, 271,000, or 15% of students were identified for special education. The state budget that year allocated slightly more than $1 billion of state funding for special education, which was more than half of what schools reported spending for special education that year.</w:t>
      </w:r>
      <w:r w:rsidR="00F2224C" w:rsidRPr="00651185">
        <w:rPr>
          <w:rFonts w:ascii="Garamond" w:hAnsi="Garamond"/>
        </w:rPr>
        <w:t xml:space="preserve"> </w:t>
      </w:r>
      <w:r w:rsidRPr="00651185">
        <w:rPr>
          <w:rFonts w:ascii="Garamond" w:hAnsi="Garamond"/>
        </w:rPr>
        <w:t>By the 2017-18 school year, 291,000, or 16.9% of students were identified for special education. The state budget that year allocated a little more than $1.1 billion of state funding for special education, which was a little more than a third of what schools reported spending for special education that year.</w:t>
      </w:r>
    </w:p>
    <w:p w14:paraId="427A60C1" w14:textId="77777777" w:rsidR="00BC077E" w:rsidRPr="00651185" w:rsidRDefault="00BC077E" w:rsidP="00BC077E">
      <w:pPr>
        <w:rPr>
          <w:rFonts w:ascii="Garamond" w:hAnsi="Garamond"/>
        </w:rPr>
      </w:pPr>
    </w:p>
    <w:p w14:paraId="6BDEA101" w14:textId="77777777" w:rsidR="00BC077E" w:rsidRPr="00651185" w:rsidRDefault="00BC077E" w:rsidP="00BC077E">
      <w:pPr>
        <w:autoSpaceDE w:val="0"/>
        <w:autoSpaceDN w:val="0"/>
        <w:adjustRightInd w:val="0"/>
        <w:rPr>
          <w:rFonts w:ascii="Garamond" w:eastAsiaTheme="minorHAnsi" w:hAnsi="Garamond"/>
          <w:b/>
        </w:rPr>
      </w:pPr>
      <w:r w:rsidRPr="00651185">
        <w:rPr>
          <w:rFonts w:ascii="Garamond" w:eastAsiaTheme="minorHAnsi" w:hAnsi="Garamond"/>
          <w:b/>
        </w:rPr>
        <w:t>Required Special Education Mandates Affecting Costs</w:t>
      </w:r>
    </w:p>
    <w:p w14:paraId="6A72FCD6" w14:textId="68985EE5" w:rsidR="003257EA" w:rsidRPr="00651185" w:rsidRDefault="00BC077E" w:rsidP="00573C5F">
      <w:pPr>
        <w:autoSpaceDE w:val="0"/>
        <w:autoSpaceDN w:val="0"/>
        <w:adjustRightInd w:val="0"/>
        <w:rPr>
          <w:rFonts w:ascii="Garamond" w:eastAsiaTheme="minorHAnsi" w:hAnsi="Garamond"/>
        </w:rPr>
      </w:pPr>
      <w:r w:rsidRPr="00651185">
        <w:rPr>
          <w:rFonts w:ascii="Garamond" w:eastAsiaTheme="minorHAnsi" w:hAnsi="Garamond"/>
        </w:rPr>
        <w:t xml:space="preserve">Schools throughout the </w:t>
      </w:r>
      <w:r w:rsidR="00C369D3" w:rsidRPr="00651185">
        <w:rPr>
          <w:rFonts w:ascii="Garamond" w:eastAsiaTheme="minorHAnsi" w:hAnsi="Garamond"/>
        </w:rPr>
        <w:t xml:space="preserve">commonwealth </w:t>
      </w:r>
      <w:r w:rsidRPr="00651185">
        <w:rPr>
          <w:rFonts w:ascii="Garamond" w:eastAsiaTheme="minorHAnsi" w:hAnsi="Garamond"/>
        </w:rPr>
        <w:t xml:space="preserve">are required to abide by </w:t>
      </w:r>
      <w:r w:rsidR="009D1BE0" w:rsidRPr="00651185">
        <w:rPr>
          <w:rFonts w:ascii="Garamond" w:eastAsiaTheme="minorHAnsi" w:hAnsi="Garamond"/>
        </w:rPr>
        <w:t xml:space="preserve">the </w:t>
      </w:r>
      <w:r w:rsidRPr="00651185">
        <w:rPr>
          <w:rFonts w:ascii="Garamond" w:eastAsiaTheme="minorHAnsi" w:hAnsi="Garamond"/>
        </w:rPr>
        <w:t>Individuals</w:t>
      </w:r>
      <w:r w:rsidR="009D1BE0" w:rsidRPr="00651185">
        <w:rPr>
          <w:rFonts w:ascii="Garamond" w:eastAsiaTheme="minorHAnsi" w:hAnsi="Garamond"/>
        </w:rPr>
        <w:t xml:space="preserve"> </w:t>
      </w:r>
      <w:r w:rsidRPr="00651185">
        <w:rPr>
          <w:rFonts w:ascii="Garamond" w:eastAsiaTheme="minorHAnsi" w:hAnsi="Garamond"/>
        </w:rPr>
        <w:t>with Disabilities Education Act (IDEA)</w:t>
      </w:r>
      <w:r w:rsidR="009D1BE0" w:rsidRPr="00651185">
        <w:rPr>
          <w:rFonts w:ascii="Garamond" w:eastAsiaTheme="minorHAnsi" w:hAnsi="Garamond"/>
        </w:rPr>
        <w:t xml:space="preserve">, however our schools must also abide by other mandates that increase the costs of education </w:t>
      </w:r>
      <w:r w:rsidR="008B6CDD" w:rsidRPr="00651185">
        <w:rPr>
          <w:rFonts w:ascii="Garamond" w:eastAsiaTheme="minorHAnsi" w:hAnsi="Garamond"/>
        </w:rPr>
        <w:t xml:space="preserve">including compliance with court decisions and </w:t>
      </w:r>
      <w:r w:rsidR="00B97D89" w:rsidRPr="00651185">
        <w:rPr>
          <w:rFonts w:ascii="Garamond" w:eastAsiaTheme="minorHAnsi" w:hAnsi="Garamond"/>
        </w:rPr>
        <w:t xml:space="preserve">state regulations </w:t>
      </w:r>
      <w:r w:rsidRPr="00651185">
        <w:rPr>
          <w:rFonts w:ascii="Garamond" w:eastAsiaTheme="minorHAnsi" w:hAnsi="Garamond"/>
        </w:rPr>
        <w:t>(</w:t>
      </w:r>
      <w:r w:rsidR="00B97D89" w:rsidRPr="00651185">
        <w:rPr>
          <w:rFonts w:ascii="Garamond" w:eastAsiaTheme="minorHAnsi" w:hAnsi="Garamond"/>
        </w:rPr>
        <w:t xml:space="preserve">Pa. Code, Title 22, </w:t>
      </w:r>
      <w:r w:rsidRPr="00651185">
        <w:rPr>
          <w:rFonts w:ascii="Garamond" w:eastAsiaTheme="minorHAnsi" w:hAnsi="Garamond"/>
        </w:rPr>
        <w:t>Chapter 14) that provide specific</w:t>
      </w:r>
      <w:r w:rsidR="009D1BE0" w:rsidRPr="00651185">
        <w:rPr>
          <w:rFonts w:ascii="Garamond" w:eastAsiaTheme="minorHAnsi" w:hAnsi="Garamond"/>
        </w:rPr>
        <w:t xml:space="preserve"> </w:t>
      </w:r>
      <w:r w:rsidRPr="00651185">
        <w:rPr>
          <w:rFonts w:ascii="Garamond" w:eastAsiaTheme="minorHAnsi" w:hAnsi="Garamond"/>
        </w:rPr>
        <w:t xml:space="preserve">mandates related to the delivery of special education services. </w:t>
      </w:r>
      <w:r w:rsidR="009D1BE0" w:rsidRPr="00651185">
        <w:rPr>
          <w:rFonts w:ascii="Garamond" w:eastAsiaTheme="minorHAnsi" w:hAnsi="Garamond"/>
        </w:rPr>
        <w:t xml:space="preserve">Public </w:t>
      </w:r>
      <w:r w:rsidR="00B97D89" w:rsidRPr="00651185">
        <w:rPr>
          <w:rFonts w:ascii="Garamond" w:eastAsiaTheme="minorHAnsi" w:hAnsi="Garamond"/>
        </w:rPr>
        <w:t xml:space="preserve">schools </w:t>
      </w:r>
      <w:r w:rsidRPr="00651185">
        <w:rPr>
          <w:rFonts w:ascii="Garamond" w:eastAsiaTheme="minorHAnsi" w:hAnsi="Garamond"/>
        </w:rPr>
        <w:t xml:space="preserve">in the </w:t>
      </w:r>
      <w:r w:rsidR="00B97D89" w:rsidRPr="00651185">
        <w:rPr>
          <w:rFonts w:ascii="Garamond" w:eastAsiaTheme="minorHAnsi" w:hAnsi="Garamond"/>
        </w:rPr>
        <w:t xml:space="preserve">commonwealth </w:t>
      </w:r>
      <w:r w:rsidRPr="00651185">
        <w:rPr>
          <w:rFonts w:ascii="Garamond" w:eastAsiaTheme="minorHAnsi" w:hAnsi="Garamond"/>
        </w:rPr>
        <w:t>mus</w:t>
      </w:r>
      <w:r w:rsidR="009D1BE0" w:rsidRPr="00651185">
        <w:rPr>
          <w:rFonts w:ascii="Garamond" w:eastAsiaTheme="minorHAnsi" w:hAnsi="Garamond"/>
        </w:rPr>
        <w:t xml:space="preserve">t </w:t>
      </w:r>
      <w:r w:rsidR="008B6CDD" w:rsidRPr="00651185">
        <w:rPr>
          <w:rFonts w:ascii="Garamond" w:eastAsiaTheme="minorHAnsi" w:hAnsi="Garamond"/>
        </w:rPr>
        <w:t xml:space="preserve">develop and </w:t>
      </w:r>
      <w:r w:rsidRPr="00651185">
        <w:rPr>
          <w:rFonts w:ascii="Garamond" w:eastAsiaTheme="minorHAnsi" w:hAnsi="Garamond"/>
        </w:rPr>
        <w:t>submit</w:t>
      </w:r>
      <w:r w:rsidR="008B6CDD" w:rsidRPr="00651185">
        <w:rPr>
          <w:rFonts w:ascii="Garamond" w:eastAsiaTheme="minorHAnsi" w:hAnsi="Garamond"/>
        </w:rPr>
        <w:t xml:space="preserve"> to the PA Department of Education for approval</w:t>
      </w:r>
      <w:r w:rsidRPr="00651185">
        <w:rPr>
          <w:rFonts w:ascii="Garamond" w:eastAsiaTheme="minorHAnsi" w:hAnsi="Garamond"/>
        </w:rPr>
        <w:t xml:space="preserve"> a </w:t>
      </w:r>
      <w:r w:rsidR="008B6CDD" w:rsidRPr="00651185">
        <w:rPr>
          <w:rFonts w:ascii="Garamond" w:eastAsiaTheme="minorHAnsi" w:hAnsi="Garamond"/>
        </w:rPr>
        <w:t xml:space="preserve">special education plan every three years that describes its special education programs and services. Districts are also </w:t>
      </w:r>
      <w:r w:rsidR="009D1BE0" w:rsidRPr="00651185">
        <w:rPr>
          <w:rFonts w:ascii="Garamond" w:eastAsiaTheme="minorHAnsi" w:hAnsi="Garamond"/>
        </w:rPr>
        <w:t xml:space="preserve"> </w:t>
      </w:r>
      <w:r w:rsidRPr="00651185">
        <w:rPr>
          <w:rFonts w:ascii="Garamond" w:eastAsiaTheme="minorHAnsi" w:hAnsi="Garamond"/>
        </w:rPr>
        <w:t xml:space="preserve">monitored </w:t>
      </w:r>
      <w:r w:rsidR="008B6CDD" w:rsidRPr="00651185">
        <w:rPr>
          <w:rFonts w:ascii="Garamond" w:eastAsiaTheme="minorHAnsi" w:hAnsi="Garamond"/>
        </w:rPr>
        <w:t xml:space="preserve">by the department </w:t>
      </w:r>
      <w:r w:rsidRPr="00651185">
        <w:rPr>
          <w:rFonts w:ascii="Garamond" w:eastAsiaTheme="minorHAnsi" w:hAnsi="Garamond"/>
        </w:rPr>
        <w:t xml:space="preserve">on a rotating basis for compliance with </w:t>
      </w:r>
      <w:r w:rsidR="009D1BE0" w:rsidRPr="00651185">
        <w:rPr>
          <w:rFonts w:ascii="Garamond" w:eastAsiaTheme="minorHAnsi" w:hAnsi="Garamond"/>
        </w:rPr>
        <w:t xml:space="preserve">all </w:t>
      </w:r>
      <w:r w:rsidRPr="00651185">
        <w:rPr>
          <w:rFonts w:ascii="Garamond" w:eastAsiaTheme="minorHAnsi" w:hAnsi="Garamond"/>
        </w:rPr>
        <w:t xml:space="preserve">mandates. </w:t>
      </w:r>
      <w:r w:rsidR="003257EA" w:rsidRPr="00651185">
        <w:rPr>
          <w:rFonts w:ascii="Garamond" w:eastAsiaTheme="minorHAnsi" w:hAnsi="Garamond"/>
        </w:rPr>
        <w:t>Among the many mandates that schools must provide:</w:t>
      </w:r>
    </w:p>
    <w:p w14:paraId="237540D6" w14:textId="5D531EB6" w:rsidR="003257EA" w:rsidRPr="00651185" w:rsidRDefault="003257EA" w:rsidP="003257EA">
      <w:pPr>
        <w:pStyle w:val="ListParagraph"/>
        <w:numPr>
          <w:ilvl w:val="0"/>
          <w:numId w:val="2"/>
        </w:numPr>
        <w:autoSpaceDE w:val="0"/>
        <w:autoSpaceDN w:val="0"/>
        <w:adjustRightInd w:val="0"/>
        <w:rPr>
          <w:rFonts w:ascii="Garamond" w:hAnsi="Garamond" w:cs="Times New Roman"/>
          <w:sz w:val="24"/>
          <w:szCs w:val="24"/>
        </w:rPr>
      </w:pPr>
      <w:r w:rsidRPr="00651185">
        <w:rPr>
          <w:rFonts w:ascii="Garamond" w:hAnsi="Garamond" w:cs="Times New Roman"/>
          <w:sz w:val="24"/>
          <w:szCs w:val="24"/>
        </w:rPr>
        <w:t>Individualized Education Program (IEP) for all identified students that is reviewed and possibly adjusted annually</w:t>
      </w:r>
      <w:r w:rsidR="008E2E62" w:rsidRPr="00651185">
        <w:rPr>
          <w:rFonts w:ascii="Garamond" w:hAnsi="Garamond" w:cs="Times New Roman"/>
          <w:sz w:val="24"/>
          <w:szCs w:val="24"/>
        </w:rPr>
        <w:t>.</w:t>
      </w:r>
      <w:r w:rsidR="00020051" w:rsidRPr="00651185">
        <w:rPr>
          <w:rFonts w:ascii="Garamond" w:hAnsi="Garamond" w:cs="Times New Roman"/>
          <w:sz w:val="24"/>
          <w:szCs w:val="24"/>
        </w:rPr>
        <w:t xml:space="preserve"> </w:t>
      </w:r>
    </w:p>
    <w:p w14:paraId="58CE0CB3" w14:textId="0FAD2790" w:rsidR="00020051" w:rsidRPr="00651185" w:rsidRDefault="00020051" w:rsidP="003257EA">
      <w:pPr>
        <w:pStyle w:val="ListParagraph"/>
        <w:numPr>
          <w:ilvl w:val="0"/>
          <w:numId w:val="2"/>
        </w:numPr>
        <w:autoSpaceDE w:val="0"/>
        <w:autoSpaceDN w:val="0"/>
        <w:adjustRightInd w:val="0"/>
        <w:rPr>
          <w:rFonts w:ascii="Garamond" w:hAnsi="Garamond" w:cs="Times New Roman"/>
          <w:sz w:val="24"/>
          <w:szCs w:val="24"/>
        </w:rPr>
      </w:pPr>
      <w:r w:rsidRPr="00651185">
        <w:rPr>
          <w:rFonts w:ascii="Garamond" w:hAnsi="Garamond" w:cs="Times New Roman"/>
          <w:sz w:val="24"/>
          <w:szCs w:val="24"/>
        </w:rPr>
        <w:t>Provide appropriate educational placement.</w:t>
      </w:r>
    </w:p>
    <w:p w14:paraId="31D17B1C" w14:textId="387D75D2" w:rsidR="003257EA" w:rsidRPr="00651185" w:rsidRDefault="00BC077E" w:rsidP="003257EA">
      <w:pPr>
        <w:pStyle w:val="ListParagraph"/>
        <w:numPr>
          <w:ilvl w:val="0"/>
          <w:numId w:val="2"/>
        </w:numPr>
        <w:autoSpaceDE w:val="0"/>
        <w:autoSpaceDN w:val="0"/>
        <w:adjustRightInd w:val="0"/>
        <w:rPr>
          <w:rFonts w:ascii="Garamond" w:hAnsi="Garamond" w:cs="Times New Roman"/>
          <w:sz w:val="24"/>
          <w:szCs w:val="24"/>
        </w:rPr>
      </w:pPr>
      <w:r w:rsidRPr="00651185">
        <w:rPr>
          <w:rFonts w:ascii="Garamond" w:hAnsi="Garamond" w:cs="Times New Roman"/>
          <w:sz w:val="24"/>
          <w:szCs w:val="24"/>
        </w:rPr>
        <w:t xml:space="preserve">Assistive </w:t>
      </w:r>
      <w:r w:rsidR="009E1C45" w:rsidRPr="00651185">
        <w:rPr>
          <w:rFonts w:ascii="Garamond" w:hAnsi="Garamond" w:cs="Times New Roman"/>
          <w:sz w:val="24"/>
          <w:szCs w:val="24"/>
        </w:rPr>
        <w:t>Technology</w:t>
      </w:r>
      <w:r w:rsidRPr="00651185">
        <w:rPr>
          <w:rFonts w:ascii="Garamond" w:hAnsi="Garamond" w:cs="Times New Roman"/>
          <w:sz w:val="24"/>
          <w:szCs w:val="24"/>
        </w:rPr>
        <w:t xml:space="preserve"> Sup</w:t>
      </w:r>
      <w:r w:rsidR="009E1C45" w:rsidRPr="00651185">
        <w:rPr>
          <w:rFonts w:ascii="Garamond" w:hAnsi="Garamond" w:cs="Times New Roman"/>
          <w:sz w:val="24"/>
          <w:szCs w:val="24"/>
        </w:rPr>
        <w:t>por</w:t>
      </w:r>
      <w:r w:rsidRPr="00651185">
        <w:rPr>
          <w:rFonts w:ascii="Garamond" w:hAnsi="Garamond" w:cs="Times New Roman"/>
          <w:sz w:val="24"/>
          <w:szCs w:val="24"/>
        </w:rPr>
        <w:t>ts</w:t>
      </w:r>
      <w:r w:rsidR="009E1C45" w:rsidRPr="00651185">
        <w:rPr>
          <w:rFonts w:ascii="Garamond" w:hAnsi="Garamond" w:cs="Times New Roman"/>
          <w:sz w:val="24"/>
          <w:szCs w:val="24"/>
        </w:rPr>
        <w:t xml:space="preserve"> which are guided by a </w:t>
      </w:r>
      <w:r w:rsidRPr="00651185">
        <w:rPr>
          <w:rFonts w:ascii="Garamond" w:hAnsi="Garamond" w:cs="Times New Roman"/>
          <w:sz w:val="24"/>
          <w:szCs w:val="24"/>
        </w:rPr>
        <w:t>prescribed SETT (Student, Environment, Tasks and Tools) process</w:t>
      </w:r>
      <w:r w:rsidR="009E1C45" w:rsidRPr="00651185">
        <w:rPr>
          <w:rFonts w:ascii="Garamond" w:hAnsi="Garamond" w:cs="Times New Roman"/>
          <w:sz w:val="24"/>
          <w:szCs w:val="24"/>
        </w:rPr>
        <w:t xml:space="preserve">. </w:t>
      </w:r>
    </w:p>
    <w:p w14:paraId="7E418272" w14:textId="4C24A2C0" w:rsidR="003257EA" w:rsidRPr="00651185" w:rsidRDefault="00BC077E" w:rsidP="003257EA">
      <w:pPr>
        <w:pStyle w:val="ListParagraph"/>
        <w:numPr>
          <w:ilvl w:val="0"/>
          <w:numId w:val="2"/>
        </w:numPr>
        <w:autoSpaceDE w:val="0"/>
        <w:autoSpaceDN w:val="0"/>
        <w:adjustRightInd w:val="0"/>
        <w:rPr>
          <w:rFonts w:ascii="Garamond" w:hAnsi="Garamond" w:cs="Times New Roman"/>
          <w:sz w:val="24"/>
          <w:szCs w:val="24"/>
        </w:rPr>
      </w:pPr>
      <w:r w:rsidRPr="00651185">
        <w:rPr>
          <w:rFonts w:ascii="Garamond" w:hAnsi="Garamond" w:cs="Times New Roman"/>
          <w:sz w:val="24"/>
          <w:szCs w:val="24"/>
        </w:rPr>
        <w:t xml:space="preserve">Child </w:t>
      </w:r>
      <w:r w:rsidR="008E2E62" w:rsidRPr="00651185">
        <w:rPr>
          <w:rFonts w:ascii="Garamond" w:hAnsi="Garamond" w:cs="Times New Roman"/>
          <w:sz w:val="24"/>
          <w:szCs w:val="24"/>
        </w:rPr>
        <w:t>find r</w:t>
      </w:r>
      <w:r w:rsidRPr="00651185">
        <w:rPr>
          <w:rFonts w:ascii="Garamond" w:hAnsi="Garamond" w:cs="Times New Roman"/>
          <w:sz w:val="24"/>
          <w:szCs w:val="24"/>
        </w:rPr>
        <w:t>equirements for schools to proactively search for</w:t>
      </w:r>
      <w:r w:rsidR="00020051" w:rsidRPr="00651185">
        <w:rPr>
          <w:rFonts w:ascii="Garamond" w:hAnsi="Garamond" w:cs="Times New Roman"/>
          <w:sz w:val="24"/>
          <w:szCs w:val="24"/>
        </w:rPr>
        <w:t>, screen and evaluate</w:t>
      </w:r>
      <w:r w:rsidR="00651185">
        <w:rPr>
          <w:rFonts w:ascii="Garamond" w:hAnsi="Garamond" w:cs="Times New Roman"/>
          <w:sz w:val="24"/>
          <w:szCs w:val="24"/>
        </w:rPr>
        <w:t xml:space="preserve"> </w:t>
      </w:r>
      <w:r w:rsidRPr="00651185">
        <w:rPr>
          <w:rFonts w:ascii="Garamond" w:hAnsi="Garamond" w:cs="Times New Roman"/>
          <w:sz w:val="24"/>
          <w:szCs w:val="24"/>
        </w:rPr>
        <w:t>students</w:t>
      </w:r>
      <w:r w:rsidR="009E1C45" w:rsidRPr="00651185">
        <w:rPr>
          <w:rFonts w:ascii="Garamond" w:hAnsi="Garamond" w:cs="Times New Roman"/>
          <w:sz w:val="24"/>
          <w:szCs w:val="24"/>
        </w:rPr>
        <w:t xml:space="preserve"> </w:t>
      </w:r>
      <w:r w:rsidRPr="00651185">
        <w:rPr>
          <w:rFonts w:ascii="Garamond" w:hAnsi="Garamond" w:cs="Times New Roman"/>
          <w:sz w:val="24"/>
          <w:szCs w:val="24"/>
        </w:rPr>
        <w:t xml:space="preserve">that may require special education services. </w:t>
      </w:r>
      <w:r w:rsidR="009E1C45" w:rsidRPr="00651185">
        <w:rPr>
          <w:rFonts w:ascii="Garamond" w:hAnsi="Garamond" w:cs="Times New Roman"/>
          <w:sz w:val="24"/>
          <w:szCs w:val="24"/>
        </w:rPr>
        <w:t xml:space="preserve"> </w:t>
      </w:r>
    </w:p>
    <w:p w14:paraId="1849E496" w14:textId="003594E1" w:rsidR="008E2E62" w:rsidRPr="00651185" w:rsidRDefault="003257EA" w:rsidP="003257EA">
      <w:pPr>
        <w:pStyle w:val="ListParagraph"/>
        <w:numPr>
          <w:ilvl w:val="0"/>
          <w:numId w:val="2"/>
        </w:numPr>
        <w:autoSpaceDE w:val="0"/>
        <w:autoSpaceDN w:val="0"/>
        <w:adjustRightInd w:val="0"/>
        <w:rPr>
          <w:rFonts w:ascii="Garamond" w:hAnsi="Garamond" w:cs="Times New Roman"/>
          <w:sz w:val="24"/>
          <w:szCs w:val="24"/>
        </w:rPr>
      </w:pPr>
      <w:r w:rsidRPr="00651185">
        <w:rPr>
          <w:rFonts w:ascii="Garamond" w:hAnsi="Garamond" w:cs="Times New Roman"/>
          <w:sz w:val="24"/>
          <w:szCs w:val="24"/>
        </w:rPr>
        <w:t xml:space="preserve">Extended </w:t>
      </w:r>
      <w:r w:rsidR="009E1C45" w:rsidRPr="00651185">
        <w:rPr>
          <w:rFonts w:ascii="Garamond" w:hAnsi="Garamond" w:cs="Times New Roman"/>
          <w:sz w:val="24"/>
          <w:szCs w:val="24"/>
        </w:rPr>
        <w:t>s</w:t>
      </w:r>
      <w:r w:rsidR="00BC077E" w:rsidRPr="00651185">
        <w:rPr>
          <w:rFonts w:ascii="Garamond" w:hAnsi="Garamond" w:cs="Times New Roman"/>
          <w:sz w:val="24"/>
          <w:szCs w:val="24"/>
        </w:rPr>
        <w:t xml:space="preserve">chool </w:t>
      </w:r>
      <w:r w:rsidR="009E1C45" w:rsidRPr="00651185">
        <w:rPr>
          <w:rFonts w:ascii="Garamond" w:hAnsi="Garamond" w:cs="Times New Roman"/>
          <w:sz w:val="24"/>
          <w:szCs w:val="24"/>
        </w:rPr>
        <w:t>y</w:t>
      </w:r>
      <w:r w:rsidR="00BC077E" w:rsidRPr="00651185">
        <w:rPr>
          <w:rFonts w:ascii="Garamond" w:hAnsi="Garamond" w:cs="Times New Roman"/>
          <w:sz w:val="24"/>
          <w:szCs w:val="24"/>
        </w:rPr>
        <w:t xml:space="preserve">ear </w:t>
      </w:r>
      <w:r w:rsidR="009E1C45" w:rsidRPr="00651185">
        <w:rPr>
          <w:rFonts w:ascii="Garamond" w:hAnsi="Garamond" w:cs="Times New Roman"/>
          <w:sz w:val="24"/>
          <w:szCs w:val="24"/>
        </w:rPr>
        <w:t>s</w:t>
      </w:r>
      <w:r w:rsidR="00BC077E" w:rsidRPr="00651185">
        <w:rPr>
          <w:rFonts w:ascii="Garamond" w:hAnsi="Garamond" w:cs="Times New Roman"/>
          <w:sz w:val="24"/>
          <w:szCs w:val="24"/>
        </w:rPr>
        <w:t xml:space="preserve">ervices </w:t>
      </w:r>
      <w:r w:rsidR="008E2E62" w:rsidRPr="00651185">
        <w:rPr>
          <w:rFonts w:ascii="Garamond" w:hAnsi="Garamond" w:cs="Times New Roman"/>
          <w:sz w:val="24"/>
          <w:szCs w:val="24"/>
        </w:rPr>
        <w:t>for certain identified students.</w:t>
      </w:r>
    </w:p>
    <w:p w14:paraId="48E928BB" w14:textId="02B627D5" w:rsidR="008E2E62" w:rsidRPr="00651185" w:rsidRDefault="008E2E62" w:rsidP="003257EA">
      <w:pPr>
        <w:pStyle w:val="ListParagraph"/>
        <w:numPr>
          <w:ilvl w:val="0"/>
          <w:numId w:val="2"/>
        </w:numPr>
        <w:autoSpaceDE w:val="0"/>
        <w:autoSpaceDN w:val="0"/>
        <w:adjustRightInd w:val="0"/>
        <w:rPr>
          <w:rFonts w:ascii="Garamond" w:hAnsi="Garamond" w:cs="Times New Roman"/>
          <w:sz w:val="24"/>
          <w:szCs w:val="24"/>
        </w:rPr>
      </w:pPr>
      <w:r w:rsidRPr="00651185">
        <w:rPr>
          <w:rFonts w:ascii="Garamond" w:hAnsi="Garamond" w:cs="Times New Roman"/>
          <w:sz w:val="24"/>
          <w:szCs w:val="24"/>
        </w:rPr>
        <w:t>Adaptive</w:t>
      </w:r>
      <w:r w:rsidR="009E1C45" w:rsidRPr="00651185">
        <w:rPr>
          <w:rFonts w:ascii="Garamond" w:hAnsi="Garamond" w:cs="Times New Roman"/>
          <w:sz w:val="24"/>
          <w:szCs w:val="24"/>
        </w:rPr>
        <w:t xml:space="preserve"> physical</w:t>
      </w:r>
      <w:r w:rsidR="00BC077E" w:rsidRPr="00651185">
        <w:rPr>
          <w:rFonts w:ascii="Garamond" w:hAnsi="Garamond" w:cs="Times New Roman"/>
          <w:sz w:val="24"/>
          <w:szCs w:val="24"/>
        </w:rPr>
        <w:t xml:space="preserve"> </w:t>
      </w:r>
      <w:r w:rsidR="009E1C45" w:rsidRPr="00651185">
        <w:rPr>
          <w:rFonts w:ascii="Garamond" w:hAnsi="Garamond" w:cs="Times New Roman"/>
          <w:sz w:val="24"/>
          <w:szCs w:val="24"/>
        </w:rPr>
        <w:t>e</w:t>
      </w:r>
      <w:r w:rsidR="00BC077E" w:rsidRPr="00651185">
        <w:rPr>
          <w:rFonts w:ascii="Garamond" w:hAnsi="Garamond" w:cs="Times New Roman"/>
          <w:sz w:val="24"/>
          <w:szCs w:val="24"/>
        </w:rPr>
        <w:t xml:space="preserve">ducation </w:t>
      </w:r>
      <w:r w:rsidR="009E1C45" w:rsidRPr="00651185">
        <w:rPr>
          <w:rFonts w:ascii="Garamond" w:hAnsi="Garamond" w:cs="Times New Roman"/>
          <w:sz w:val="24"/>
          <w:szCs w:val="24"/>
        </w:rPr>
        <w:t>p</w:t>
      </w:r>
      <w:r w:rsidR="00BC077E" w:rsidRPr="00651185">
        <w:rPr>
          <w:rFonts w:ascii="Garamond" w:hAnsi="Garamond" w:cs="Times New Roman"/>
          <w:sz w:val="24"/>
          <w:szCs w:val="24"/>
        </w:rPr>
        <w:t xml:space="preserve">rograms </w:t>
      </w:r>
      <w:r w:rsidR="009E1C45" w:rsidRPr="00651185">
        <w:rPr>
          <w:rFonts w:ascii="Garamond" w:hAnsi="Garamond" w:cs="Times New Roman"/>
          <w:sz w:val="24"/>
          <w:szCs w:val="24"/>
        </w:rPr>
        <w:t xml:space="preserve">that may be provided by specialized trained instructors and can include specialized equipment.  </w:t>
      </w:r>
    </w:p>
    <w:p w14:paraId="1A95CE40" w14:textId="2122BCD2" w:rsidR="008E2E62" w:rsidRPr="00651185" w:rsidRDefault="008E2E62" w:rsidP="003257EA">
      <w:pPr>
        <w:pStyle w:val="ListParagraph"/>
        <w:numPr>
          <w:ilvl w:val="0"/>
          <w:numId w:val="2"/>
        </w:numPr>
        <w:autoSpaceDE w:val="0"/>
        <w:autoSpaceDN w:val="0"/>
        <w:adjustRightInd w:val="0"/>
        <w:rPr>
          <w:rFonts w:ascii="Garamond" w:hAnsi="Garamond" w:cs="Times New Roman"/>
          <w:sz w:val="24"/>
          <w:szCs w:val="24"/>
        </w:rPr>
      </w:pPr>
      <w:r w:rsidRPr="00651185">
        <w:rPr>
          <w:rFonts w:ascii="Garamond" w:hAnsi="Garamond" w:cs="Times New Roman"/>
          <w:sz w:val="24"/>
          <w:szCs w:val="24"/>
        </w:rPr>
        <w:t xml:space="preserve">School </w:t>
      </w:r>
      <w:r w:rsidR="009E1C45" w:rsidRPr="00651185">
        <w:rPr>
          <w:rFonts w:ascii="Garamond" w:hAnsi="Garamond" w:cs="Times New Roman"/>
          <w:sz w:val="24"/>
          <w:szCs w:val="24"/>
        </w:rPr>
        <w:t>to work transition services which</w:t>
      </w:r>
      <w:r w:rsidR="00020051" w:rsidRPr="00651185">
        <w:rPr>
          <w:rFonts w:ascii="Garamond" w:hAnsi="Garamond" w:cs="Times New Roman"/>
          <w:sz w:val="24"/>
          <w:szCs w:val="24"/>
        </w:rPr>
        <w:t xml:space="preserve"> include planning and </w:t>
      </w:r>
      <w:r w:rsidR="009E1C45" w:rsidRPr="00651185">
        <w:rPr>
          <w:rFonts w:ascii="Garamond" w:hAnsi="Garamond" w:cs="Times New Roman"/>
          <w:sz w:val="24"/>
          <w:szCs w:val="24"/>
        </w:rPr>
        <w:t xml:space="preserve"> may require specialized transportation to and from facilities. </w:t>
      </w:r>
    </w:p>
    <w:p w14:paraId="0E05FCD0" w14:textId="12A339E5" w:rsidR="008E2E62" w:rsidRPr="00651185" w:rsidRDefault="008E2E62" w:rsidP="003257EA">
      <w:pPr>
        <w:pStyle w:val="ListParagraph"/>
        <w:numPr>
          <w:ilvl w:val="0"/>
          <w:numId w:val="2"/>
        </w:numPr>
        <w:autoSpaceDE w:val="0"/>
        <w:autoSpaceDN w:val="0"/>
        <w:adjustRightInd w:val="0"/>
        <w:rPr>
          <w:rFonts w:ascii="Garamond" w:hAnsi="Garamond" w:cs="Times New Roman"/>
          <w:sz w:val="24"/>
          <w:szCs w:val="24"/>
        </w:rPr>
      </w:pPr>
      <w:r w:rsidRPr="00651185">
        <w:rPr>
          <w:rFonts w:ascii="Garamond" w:hAnsi="Garamond" w:cs="Times New Roman"/>
          <w:sz w:val="24"/>
          <w:szCs w:val="24"/>
        </w:rPr>
        <w:t xml:space="preserve">Special </w:t>
      </w:r>
      <w:r w:rsidR="009E1C45" w:rsidRPr="00651185">
        <w:rPr>
          <w:rFonts w:ascii="Garamond" w:hAnsi="Garamond" w:cs="Times New Roman"/>
          <w:sz w:val="24"/>
          <w:szCs w:val="24"/>
        </w:rPr>
        <w:t xml:space="preserve">education transportation is the most significant segmented cost for transportation services.  These services </w:t>
      </w:r>
      <w:r w:rsidR="00573C5F" w:rsidRPr="00651185">
        <w:rPr>
          <w:rFonts w:ascii="Garamond" w:hAnsi="Garamond" w:cs="Times New Roman"/>
          <w:sz w:val="24"/>
          <w:szCs w:val="24"/>
        </w:rPr>
        <w:t xml:space="preserve">vary in cost depending on the type of vehicle needed and the additional staff to properly transport a student to school.  </w:t>
      </w:r>
    </w:p>
    <w:p w14:paraId="46DDDBA2" w14:textId="4C720E5C" w:rsidR="008E2E62" w:rsidRPr="00651185" w:rsidRDefault="008E2E62" w:rsidP="003257EA">
      <w:pPr>
        <w:pStyle w:val="ListParagraph"/>
        <w:numPr>
          <w:ilvl w:val="0"/>
          <w:numId w:val="2"/>
        </w:numPr>
        <w:autoSpaceDE w:val="0"/>
        <w:autoSpaceDN w:val="0"/>
        <w:adjustRightInd w:val="0"/>
        <w:rPr>
          <w:rFonts w:ascii="Garamond" w:hAnsi="Garamond" w:cs="Times New Roman"/>
          <w:sz w:val="24"/>
          <w:szCs w:val="24"/>
        </w:rPr>
      </w:pPr>
      <w:r w:rsidRPr="00651185">
        <w:rPr>
          <w:rFonts w:ascii="Garamond" w:hAnsi="Garamond" w:cs="Times New Roman"/>
          <w:sz w:val="24"/>
          <w:szCs w:val="24"/>
        </w:rPr>
        <w:t>Personnel including paraprofessionals, personal care assistants, educational interpreters as needed.</w:t>
      </w:r>
    </w:p>
    <w:p w14:paraId="56D39BD9" w14:textId="23AD3D27" w:rsidR="009E1C45" w:rsidRPr="00651185" w:rsidRDefault="00020051" w:rsidP="003257EA">
      <w:pPr>
        <w:pStyle w:val="ListParagraph"/>
        <w:numPr>
          <w:ilvl w:val="0"/>
          <w:numId w:val="2"/>
        </w:numPr>
        <w:autoSpaceDE w:val="0"/>
        <w:autoSpaceDN w:val="0"/>
        <w:adjustRightInd w:val="0"/>
        <w:rPr>
          <w:rFonts w:ascii="Garamond" w:hAnsi="Garamond" w:cs="Times New Roman"/>
          <w:sz w:val="24"/>
          <w:szCs w:val="24"/>
        </w:rPr>
      </w:pPr>
      <w:r w:rsidRPr="00651185">
        <w:rPr>
          <w:rFonts w:ascii="Garamond" w:hAnsi="Garamond" w:cs="Times New Roman"/>
          <w:sz w:val="24"/>
          <w:szCs w:val="24"/>
        </w:rPr>
        <w:t xml:space="preserve">Student caseload requirements and limits for special education teachers. The caseload maximums vary depending on the type of special education support needed and the amount of time the student spends with that teacher. </w:t>
      </w:r>
      <w:r w:rsidR="00573C5F" w:rsidRPr="00651185">
        <w:rPr>
          <w:rFonts w:ascii="Garamond" w:hAnsi="Garamond" w:cs="Times New Roman"/>
          <w:sz w:val="24"/>
          <w:szCs w:val="24"/>
        </w:rPr>
        <w:t xml:space="preserve">The mandated restrictions increase the staff allotment and cost of these classroom environments.  </w:t>
      </w:r>
    </w:p>
    <w:p w14:paraId="2307716B" w14:textId="3A46984E" w:rsidR="00020051" w:rsidRPr="00651185" w:rsidRDefault="00020051" w:rsidP="00B47BD0">
      <w:pPr>
        <w:pStyle w:val="ListParagraph"/>
        <w:numPr>
          <w:ilvl w:val="0"/>
          <w:numId w:val="2"/>
        </w:numPr>
        <w:autoSpaceDE w:val="0"/>
        <w:autoSpaceDN w:val="0"/>
        <w:adjustRightInd w:val="0"/>
        <w:rPr>
          <w:rFonts w:ascii="Garamond" w:hAnsi="Garamond"/>
          <w:sz w:val="24"/>
          <w:szCs w:val="24"/>
        </w:rPr>
      </w:pPr>
      <w:r w:rsidRPr="00651185">
        <w:rPr>
          <w:rFonts w:ascii="Garamond" w:hAnsi="Garamond" w:cs="Times New Roman"/>
          <w:sz w:val="24"/>
          <w:szCs w:val="24"/>
        </w:rPr>
        <w:t>Compliance with all due process hearing requirements.</w:t>
      </w:r>
    </w:p>
    <w:p w14:paraId="0F0EB0AC" w14:textId="77777777" w:rsidR="00573C5F" w:rsidRPr="00651185" w:rsidRDefault="00573C5F" w:rsidP="00573C5F">
      <w:pPr>
        <w:autoSpaceDE w:val="0"/>
        <w:autoSpaceDN w:val="0"/>
        <w:adjustRightInd w:val="0"/>
        <w:rPr>
          <w:rFonts w:ascii="Garamond" w:hAnsi="Garamond"/>
        </w:rPr>
      </w:pPr>
    </w:p>
    <w:p w14:paraId="57E3EA5D" w14:textId="77777777" w:rsidR="00B47BD0" w:rsidRPr="00651185" w:rsidRDefault="00B47BD0" w:rsidP="00B47BD0">
      <w:pPr>
        <w:autoSpaceDE w:val="0"/>
        <w:autoSpaceDN w:val="0"/>
        <w:adjustRightInd w:val="0"/>
        <w:rPr>
          <w:rFonts w:ascii="Garamond" w:hAnsi="Garamond"/>
        </w:rPr>
      </w:pPr>
      <w:r w:rsidRPr="00651185">
        <w:rPr>
          <w:rFonts w:ascii="Garamond" w:hAnsi="Garamond"/>
        </w:rPr>
        <w:t>PSBA submits the following recommendations for consideration by the commission:</w:t>
      </w:r>
    </w:p>
    <w:p w14:paraId="5DA2CAF3" w14:textId="77777777" w:rsidR="00B47BD0" w:rsidRPr="00651185" w:rsidRDefault="00B47BD0" w:rsidP="00B47BD0">
      <w:pPr>
        <w:autoSpaceDE w:val="0"/>
        <w:autoSpaceDN w:val="0"/>
        <w:adjustRightInd w:val="0"/>
        <w:rPr>
          <w:rFonts w:ascii="Garamond" w:hAnsi="Garamond"/>
        </w:rPr>
      </w:pPr>
    </w:p>
    <w:p w14:paraId="4950ABF6" w14:textId="77777777" w:rsidR="00B47BD0" w:rsidRPr="00651185" w:rsidRDefault="00B47BD0" w:rsidP="00B47BD0">
      <w:pPr>
        <w:pStyle w:val="ListParagraph"/>
        <w:numPr>
          <w:ilvl w:val="0"/>
          <w:numId w:val="4"/>
        </w:numPr>
        <w:rPr>
          <w:rFonts w:ascii="Garamond" w:hAnsi="Garamond"/>
          <w:sz w:val="24"/>
          <w:szCs w:val="24"/>
        </w:rPr>
      </w:pPr>
      <w:r w:rsidRPr="00651185">
        <w:rPr>
          <w:rFonts w:ascii="Garamond" w:hAnsi="Garamond"/>
          <w:sz w:val="24"/>
          <w:szCs w:val="24"/>
        </w:rPr>
        <w:t>One of the primary considerations in developing a formula is providing consistency and predictability to school districts who rely on this funding.  Currently the formula relies on data that is not calculated on a hard date.  This problem was seen with the basic education funding formula and was address by setting a date in time when factors became fixed in the formula.  We would suggest this same fixed date be set for the special education formula and match the basic education formula by setting the date as June 1 of every year.</w:t>
      </w:r>
    </w:p>
    <w:p w14:paraId="36E1D47C" w14:textId="77777777" w:rsidR="00B47BD0" w:rsidRPr="00651185" w:rsidRDefault="00B47BD0" w:rsidP="00B47BD0">
      <w:pPr>
        <w:pStyle w:val="ListParagraph"/>
        <w:numPr>
          <w:ilvl w:val="0"/>
          <w:numId w:val="4"/>
        </w:numPr>
        <w:rPr>
          <w:rFonts w:ascii="Garamond" w:hAnsi="Garamond"/>
          <w:sz w:val="24"/>
          <w:szCs w:val="24"/>
        </w:rPr>
      </w:pPr>
      <w:r w:rsidRPr="00651185">
        <w:rPr>
          <w:rFonts w:ascii="Garamond" w:hAnsi="Garamond"/>
          <w:sz w:val="24"/>
          <w:szCs w:val="24"/>
        </w:rPr>
        <w:t>Several of the factors of the current formula are based on an average of three years such as school district ADM and average equalized mills.  This was done to smooth out the possibility that these factors could have a steep increase or decrease in a single year.  We should consider smoothing other factors.</w:t>
      </w:r>
    </w:p>
    <w:p w14:paraId="10A163E7" w14:textId="77777777" w:rsidR="00B47BD0" w:rsidRPr="00651185" w:rsidRDefault="00B47BD0" w:rsidP="00B47BD0">
      <w:pPr>
        <w:pStyle w:val="ListParagraph"/>
        <w:numPr>
          <w:ilvl w:val="0"/>
          <w:numId w:val="4"/>
        </w:numPr>
        <w:rPr>
          <w:rFonts w:ascii="Garamond" w:hAnsi="Garamond"/>
          <w:sz w:val="24"/>
          <w:szCs w:val="24"/>
        </w:rPr>
      </w:pPr>
      <w:r w:rsidRPr="00651185">
        <w:rPr>
          <w:rFonts w:ascii="Garamond" w:hAnsi="Garamond"/>
          <w:sz w:val="24"/>
          <w:szCs w:val="24"/>
        </w:rPr>
        <w:t>Consider replacing the MV/PI aid ratio meant to measure a school district’s relative wealth with some of the factors used in the basic education funding formula, such as median household income index.</w:t>
      </w:r>
    </w:p>
    <w:p w14:paraId="1A825A01" w14:textId="77777777" w:rsidR="00B47BD0" w:rsidRPr="00651185" w:rsidRDefault="00B47BD0" w:rsidP="00B47BD0">
      <w:pPr>
        <w:pStyle w:val="ListParagraph"/>
        <w:numPr>
          <w:ilvl w:val="0"/>
          <w:numId w:val="4"/>
        </w:numPr>
        <w:rPr>
          <w:rFonts w:ascii="Garamond" w:hAnsi="Garamond"/>
          <w:sz w:val="24"/>
          <w:szCs w:val="24"/>
        </w:rPr>
      </w:pPr>
      <w:r w:rsidRPr="00651185">
        <w:rPr>
          <w:rFonts w:ascii="Garamond" w:hAnsi="Garamond"/>
          <w:sz w:val="24"/>
          <w:szCs w:val="24"/>
        </w:rPr>
        <w:t>Consider replacing equalized mills with meant to measure a school district’s local tax effort with some of the factors used in the basic education funding formula, such as the local effort capacity index.</w:t>
      </w:r>
    </w:p>
    <w:p w14:paraId="15C39DF9" w14:textId="77777777" w:rsidR="00B47BD0" w:rsidRPr="00651185" w:rsidRDefault="00B47BD0" w:rsidP="00B47BD0">
      <w:pPr>
        <w:pStyle w:val="ListParagraph"/>
        <w:numPr>
          <w:ilvl w:val="0"/>
          <w:numId w:val="4"/>
        </w:numPr>
        <w:rPr>
          <w:rFonts w:ascii="Garamond" w:hAnsi="Garamond"/>
          <w:sz w:val="24"/>
          <w:szCs w:val="24"/>
        </w:rPr>
      </w:pPr>
      <w:r w:rsidRPr="00651185">
        <w:rPr>
          <w:rFonts w:ascii="Garamond" w:hAnsi="Garamond"/>
          <w:sz w:val="24"/>
          <w:szCs w:val="24"/>
        </w:rPr>
        <w:t>The survey tool that the Independent Fiscal Office is utilizing to determine the category costs may shift the reimbursement for each category to a greater amount.  We are encouraged by the methodology and direction of this process and encourage the committee to perform this task on a rolling five year basis.</w:t>
      </w:r>
    </w:p>
    <w:p w14:paraId="0C90297C" w14:textId="77777777" w:rsidR="00B47BD0" w:rsidRPr="00651185" w:rsidRDefault="00B47BD0" w:rsidP="00B47BD0">
      <w:pPr>
        <w:pStyle w:val="ListParagraph"/>
        <w:numPr>
          <w:ilvl w:val="0"/>
          <w:numId w:val="4"/>
        </w:numPr>
        <w:rPr>
          <w:rFonts w:ascii="Garamond" w:hAnsi="Garamond"/>
          <w:sz w:val="24"/>
          <w:szCs w:val="24"/>
        </w:rPr>
      </w:pPr>
      <w:r w:rsidRPr="00651185">
        <w:rPr>
          <w:rFonts w:ascii="Garamond" w:hAnsi="Garamond"/>
          <w:sz w:val="24"/>
          <w:szCs w:val="24"/>
        </w:rPr>
        <w:t>As we change factors, the commission needs to ensure that school districts do not experience significant disruption to their current level of special education funding.</w:t>
      </w:r>
    </w:p>
    <w:p w14:paraId="11942D3A" w14:textId="77777777" w:rsidR="00B47BD0" w:rsidRPr="00651185" w:rsidRDefault="00B47BD0" w:rsidP="00B47BD0">
      <w:pPr>
        <w:pStyle w:val="ListParagraph"/>
        <w:numPr>
          <w:ilvl w:val="0"/>
          <w:numId w:val="4"/>
        </w:numPr>
        <w:rPr>
          <w:rFonts w:ascii="Garamond" w:hAnsi="Garamond"/>
          <w:sz w:val="24"/>
          <w:szCs w:val="24"/>
        </w:rPr>
      </w:pPr>
      <w:r w:rsidRPr="00651185">
        <w:rPr>
          <w:rFonts w:ascii="Garamond" w:hAnsi="Garamond"/>
          <w:sz w:val="24"/>
          <w:szCs w:val="24"/>
        </w:rPr>
        <w:t xml:space="preserve">The committee should begin to discuss the effects of trauma on students in special education and within basic education.  We find it very difficult at this time to truly find a factor or set of factors that indicates or corallers to the effects of trauma on a student populations and the relating costs of services.   We need further study of this issue and would encourage the committee to recommend a study of the factors and relating costs to school districts who are impacted by these challenges.  </w:t>
      </w:r>
    </w:p>
    <w:p w14:paraId="75897EDE" w14:textId="0A5E8E0F" w:rsidR="00F2224C" w:rsidRPr="00651185" w:rsidRDefault="00651185" w:rsidP="00573C5F">
      <w:pPr>
        <w:autoSpaceDE w:val="0"/>
        <w:autoSpaceDN w:val="0"/>
        <w:adjustRightInd w:val="0"/>
        <w:rPr>
          <w:rFonts w:ascii="Garamond" w:hAnsi="Garamond"/>
        </w:rPr>
      </w:pPr>
      <w:r w:rsidRPr="00651185">
        <w:rPr>
          <w:rFonts w:ascii="Garamond" w:hAnsi="Garamond"/>
        </w:rPr>
        <w:t>Thank you again for acknowledging this important issue and allowing input from</w:t>
      </w:r>
      <w:r>
        <w:rPr>
          <w:rFonts w:ascii="Garamond" w:hAnsi="Garamond"/>
        </w:rPr>
        <w:t xml:space="preserve"> PSBA on behalf of our over 6,000 members.  We look forward to working with the commission to further developing the formula for 2020.</w:t>
      </w:r>
    </w:p>
    <w:p w14:paraId="28E7708D" w14:textId="77777777" w:rsidR="00573C5F" w:rsidRPr="00651185" w:rsidRDefault="00573C5F" w:rsidP="009E1C45">
      <w:pPr>
        <w:rPr>
          <w:rFonts w:ascii="Garamond" w:hAnsi="Garamond"/>
        </w:rPr>
      </w:pPr>
    </w:p>
    <w:p w14:paraId="51D58812" w14:textId="77777777" w:rsidR="00825E23" w:rsidRPr="00651185" w:rsidRDefault="00825E23" w:rsidP="009E1C45">
      <w:pPr>
        <w:rPr>
          <w:rFonts w:ascii="Garamond" w:hAnsi="Garamond"/>
        </w:rPr>
      </w:pPr>
    </w:p>
    <w:sectPr w:rsidR="00825E23" w:rsidRPr="0065118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3B257" w14:textId="77777777" w:rsidR="00AA56D3" w:rsidRDefault="00AA56D3" w:rsidP="00D467AB">
      <w:r>
        <w:separator/>
      </w:r>
    </w:p>
  </w:endnote>
  <w:endnote w:type="continuationSeparator" w:id="0">
    <w:p w14:paraId="4978D261" w14:textId="77777777" w:rsidR="00AA56D3" w:rsidRDefault="00AA56D3" w:rsidP="00D4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3530455"/>
      <w:docPartObj>
        <w:docPartGallery w:val="Page Numbers (Bottom of Page)"/>
        <w:docPartUnique/>
      </w:docPartObj>
    </w:sdtPr>
    <w:sdtEndPr>
      <w:rPr>
        <w:noProof/>
      </w:rPr>
    </w:sdtEndPr>
    <w:sdtContent>
      <w:p w14:paraId="421D8188" w14:textId="5291BA3E" w:rsidR="00C85FC5" w:rsidRDefault="00C85F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9BDF35" w14:textId="77777777" w:rsidR="00C85FC5" w:rsidRDefault="00C85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8590A" w14:textId="77777777" w:rsidR="00AA56D3" w:rsidRDefault="00AA56D3" w:rsidP="00D467AB">
      <w:r>
        <w:separator/>
      </w:r>
    </w:p>
  </w:footnote>
  <w:footnote w:type="continuationSeparator" w:id="0">
    <w:p w14:paraId="1927A2CB" w14:textId="77777777" w:rsidR="00AA56D3" w:rsidRDefault="00AA56D3" w:rsidP="00D46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50B8C"/>
    <w:multiLevelType w:val="hybridMultilevel"/>
    <w:tmpl w:val="6FB28D9C"/>
    <w:lvl w:ilvl="0" w:tplc="8C32DD40">
      <w:start w:val="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D7823"/>
    <w:multiLevelType w:val="hybridMultilevel"/>
    <w:tmpl w:val="36945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859276F"/>
    <w:multiLevelType w:val="hybridMultilevel"/>
    <w:tmpl w:val="1360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A10B65"/>
    <w:multiLevelType w:val="hybridMultilevel"/>
    <w:tmpl w:val="C2FC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7AB"/>
    <w:rsid w:val="00020051"/>
    <w:rsid w:val="0016656B"/>
    <w:rsid w:val="001C2579"/>
    <w:rsid w:val="002303D4"/>
    <w:rsid w:val="002C6C6C"/>
    <w:rsid w:val="00323E6B"/>
    <w:rsid w:val="003257EA"/>
    <w:rsid w:val="00366A21"/>
    <w:rsid w:val="003945A9"/>
    <w:rsid w:val="003C4002"/>
    <w:rsid w:val="00573C5F"/>
    <w:rsid w:val="00651185"/>
    <w:rsid w:val="006611CB"/>
    <w:rsid w:val="00671221"/>
    <w:rsid w:val="00825E23"/>
    <w:rsid w:val="008B6CDD"/>
    <w:rsid w:val="008E2E62"/>
    <w:rsid w:val="00986E4E"/>
    <w:rsid w:val="009D1BE0"/>
    <w:rsid w:val="009E1C45"/>
    <w:rsid w:val="00AA56D3"/>
    <w:rsid w:val="00B40A6D"/>
    <w:rsid w:val="00B47BD0"/>
    <w:rsid w:val="00B97D89"/>
    <w:rsid w:val="00BC077E"/>
    <w:rsid w:val="00C06B7A"/>
    <w:rsid w:val="00C369D3"/>
    <w:rsid w:val="00C50FC8"/>
    <w:rsid w:val="00C85FC5"/>
    <w:rsid w:val="00D467AB"/>
    <w:rsid w:val="00F22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DFF21"/>
  <w15:chartTrackingRefBased/>
  <w15:docId w15:val="{69218D51-526F-4BDB-A2D8-7EC3C6B1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7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467AB"/>
    <w:rPr>
      <w:sz w:val="20"/>
      <w:szCs w:val="20"/>
    </w:rPr>
  </w:style>
  <w:style w:type="character" w:customStyle="1" w:styleId="FootnoteTextChar">
    <w:name w:val="Footnote Text Char"/>
    <w:basedOn w:val="DefaultParagraphFont"/>
    <w:link w:val="FootnoteText"/>
    <w:rsid w:val="00D467AB"/>
    <w:rPr>
      <w:rFonts w:ascii="Times New Roman" w:eastAsia="Times New Roman" w:hAnsi="Times New Roman" w:cs="Times New Roman"/>
      <w:sz w:val="20"/>
      <w:szCs w:val="20"/>
    </w:rPr>
  </w:style>
  <w:style w:type="character" w:styleId="FootnoteReference">
    <w:name w:val="footnote reference"/>
    <w:basedOn w:val="DefaultParagraphFont"/>
    <w:rsid w:val="00D467AB"/>
    <w:rPr>
      <w:vertAlign w:val="superscript"/>
    </w:rPr>
  </w:style>
  <w:style w:type="paragraph" w:styleId="ListParagraph">
    <w:name w:val="List Paragraph"/>
    <w:basedOn w:val="Normal"/>
    <w:uiPriority w:val="34"/>
    <w:qFormat/>
    <w:rsid w:val="00BC077E"/>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BC0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07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77E"/>
    <w:rPr>
      <w:rFonts w:ascii="Segoe UI" w:eastAsia="Times New Roman" w:hAnsi="Segoe UI" w:cs="Segoe UI"/>
      <w:sz w:val="18"/>
      <w:szCs w:val="18"/>
    </w:rPr>
  </w:style>
  <w:style w:type="paragraph" w:styleId="Header">
    <w:name w:val="header"/>
    <w:basedOn w:val="Normal"/>
    <w:link w:val="HeaderChar"/>
    <w:uiPriority w:val="99"/>
    <w:unhideWhenUsed/>
    <w:rsid w:val="00C85FC5"/>
    <w:pPr>
      <w:tabs>
        <w:tab w:val="center" w:pos="4680"/>
        <w:tab w:val="right" w:pos="9360"/>
      </w:tabs>
    </w:pPr>
  </w:style>
  <w:style w:type="character" w:customStyle="1" w:styleId="HeaderChar">
    <w:name w:val="Header Char"/>
    <w:basedOn w:val="DefaultParagraphFont"/>
    <w:link w:val="Header"/>
    <w:uiPriority w:val="99"/>
    <w:rsid w:val="00C85F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5FC5"/>
    <w:pPr>
      <w:tabs>
        <w:tab w:val="center" w:pos="4680"/>
        <w:tab w:val="right" w:pos="9360"/>
      </w:tabs>
    </w:pPr>
  </w:style>
  <w:style w:type="character" w:customStyle="1" w:styleId="FooterChar">
    <w:name w:val="Footer Char"/>
    <w:basedOn w:val="DefaultParagraphFont"/>
    <w:link w:val="Footer"/>
    <w:uiPriority w:val="99"/>
    <w:rsid w:val="00C85FC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C2579"/>
    <w:rPr>
      <w:sz w:val="16"/>
      <w:szCs w:val="16"/>
    </w:rPr>
  </w:style>
  <w:style w:type="paragraph" w:styleId="CommentText">
    <w:name w:val="annotation text"/>
    <w:basedOn w:val="Normal"/>
    <w:link w:val="CommentTextChar"/>
    <w:uiPriority w:val="99"/>
    <w:semiHidden/>
    <w:unhideWhenUsed/>
    <w:rsid w:val="001C2579"/>
    <w:rPr>
      <w:sz w:val="20"/>
      <w:szCs w:val="20"/>
    </w:rPr>
  </w:style>
  <w:style w:type="character" w:customStyle="1" w:styleId="CommentTextChar">
    <w:name w:val="Comment Text Char"/>
    <w:basedOn w:val="DefaultParagraphFont"/>
    <w:link w:val="CommentText"/>
    <w:uiPriority w:val="99"/>
    <w:semiHidden/>
    <w:rsid w:val="001C25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2579"/>
    <w:rPr>
      <w:b/>
      <w:bCs/>
    </w:rPr>
  </w:style>
  <w:style w:type="character" w:customStyle="1" w:styleId="CommentSubjectChar">
    <w:name w:val="Comment Subject Char"/>
    <w:basedOn w:val="CommentTextChar"/>
    <w:link w:val="CommentSubject"/>
    <w:uiPriority w:val="99"/>
    <w:semiHidden/>
    <w:rsid w:val="001C257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https://paschoolboards-my.sharepoint.com/personal/christ_psba_org/Documents/Education%20Budget/Special%20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paschoolboards-my.sharepoint.com/personal/christ_psba_org/Documents/Education%20Budget/Special%20E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paschoolboards-my.sharepoint.com/personal/christ_psba_org/Documents/Education%20Budget/Special%20E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paschoolboards-my.sharepoint.com/personal/christ_psba_org/Documents/Education%20Budget/Special%20Ed.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t>Percent</a:t>
            </a:r>
            <a:r>
              <a:rPr lang="en-US" baseline="0"/>
              <a:t> of Special Education Funding by Source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lineChart>
        <c:grouping val="standard"/>
        <c:varyColors val="0"/>
        <c:ser>
          <c:idx val="0"/>
          <c:order val="0"/>
          <c:tx>
            <c:strRef>
              <c:f>'New way'!$A$45</c:f>
              <c:strCache>
                <c:ptCount val="1"/>
                <c:pt idx="0">
                  <c:v>State</c:v>
                </c:pt>
              </c:strCache>
            </c:strRef>
          </c:tx>
          <c:spPr>
            <a:ln w="28575" cap="rnd">
              <a:solidFill>
                <a:srgbClr val="00ADEF"/>
              </a:solidFill>
              <a:round/>
            </a:ln>
            <a:effectLst/>
          </c:spPr>
          <c:marker>
            <c:symbol val="circle"/>
            <c:size val="5"/>
            <c:spPr>
              <a:solidFill>
                <a:srgbClr val="00ADEF"/>
              </a:solidFill>
              <a:ln w="9525">
                <a:solidFill>
                  <a:srgbClr val="00ADEF"/>
                </a:solidFill>
              </a:ln>
              <a:effectLst/>
            </c:spPr>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69F-498E-A79E-AA8FB31B5E54}"/>
                </c:ext>
              </c:extLst>
            </c:dLbl>
            <c:dLbl>
              <c:idx val="2"/>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69F-498E-A79E-AA8FB31B5E54}"/>
                </c:ext>
              </c:extLst>
            </c:dLbl>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69F-498E-A79E-AA8FB31B5E54}"/>
                </c:ext>
              </c:extLst>
            </c:dLbl>
            <c:dLbl>
              <c:idx val="6"/>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69F-498E-A79E-AA8FB31B5E54}"/>
                </c:ext>
              </c:extLst>
            </c:dLbl>
            <c:dLbl>
              <c:idx val="8"/>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69F-498E-A79E-AA8FB31B5E54}"/>
                </c:ext>
              </c:extLst>
            </c:dLbl>
            <c:dLbl>
              <c:idx val="1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69F-498E-A79E-AA8FB31B5E5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'New way'!$B$44:$L$44</c:f>
              <c:strCache>
                <c:ptCount val="11"/>
                <c:pt idx="0">
                  <c:v>2007-08</c:v>
                </c:pt>
                <c:pt idx="1">
                  <c:v>2008-09</c:v>
                </c:pt>
                <c:pt idx="2">
                  <c:v>2009-10</c:v>
                </c:pt>
                <c:pt idx="3">
                  <c:v>2010-11</c:v>
                </c:pt>
                <c:pt idx="4">
                  <c:v>2011-12</c:v>
                </c:pt>
                <c:pt idx="5">
                  <c:v>2012-13</c:v>
                </c:pt>
                <c:pt idx="6">
                  <c:v>2013-14</c:v>
                </c:pt>
                <c:pt idx="7">
                  <c:v>2014-15</c:v>
                </c:pt>
                <c:pt idx="8">
                  <c:v>2015-16</c:v>
                </c:pt>
                <c:pt idx="9">
                  <c:v>2016-17</c:v>
                </c:pt>
                <c:pt idx="10">
                  <c:v>2017-18</c:v>
                </c:pt>
              </c:strCache>
            </c:strRef>
          </c:cat>
          <c:val>
            <c:numRef>
              <c:f>'New way'!$B$45:$L$45</c:f>
              <c:numCache>
                <c:formatCode>0.0%</c:formatCode>
                <c:ptCount val="11"/>
                <c:pt idx="0">
                  <c:v>0.35133210341985321</c:v>
                </c:pt>
                <c:pt idx="1">
                  <c:v>0.3383717382299774</c:v>
                </c:pt>
                <c:pt idx="2">
                  <c:v>0.31942334803137556</c:v>
                </c:pt>
                <c:pt idx="3">
                  <c:v>0.30130700606435368</c:v>
                </c:pt>
                <c:pt idx="4">
                  <c:v>0.29817528045074304</c:v>
                </c:pt>
                <c:pt idx="5">
                  <c:v>0.28293872491818828</c:v>
                </c:pt>
                <c:pt idx="6">
                  <c:v>0.26656530739658091</c:v>
                </c:pt>
                <c:pt idx="7">
                  <c:v>0.25890096313881461</c:v>
                </c:pt>
                <c:pt idx="8">
                  <c:v>0.24377744521261599</c:v>
                </c:pt>
                <c:pt idx="9">
                  <c:v>0.23261942682237774</c:v>
                </c:pt>
                <c:pt idx="10">
                  <c:v>0.22671791288945004</c:v>
                </c:pt>
              </c:numCache>
            </c:numRef>
          </c:val>
          <c:smooth val="0"/>
          <c:extLst>
            <c:ext xmlns:c16="http://schemas.microsoft.com/office/drawing/2014/chart" uri="{C3380CC4-5D6E-409C-BE32-E72D297353CC}">
              <c16:uniqueId val="{00000006-E69F-498E-A79E-AA8FB31B5E54}"/>
            </c:ext>
          </c:extLst>
        </c:ser>
        <c:ser>
          <c:idx val="1"/>
          <c:order val="1"/>
          <c:tx>
            <c:strRef>
              <c:f>'New way'!$A$46</c:f>
              <c:strCache>
                <c:ptCount val="1"/>
                <c:pt idx="0">
                  <c:v>Federal</c:v>
                </c:pt>
              </c:strCache>
            </c:strRef>
          </c:tx>
          <c:spPr>
            <a:ln w="28575" cap="rnd">
              <a:solidFill>
                <a:srgbClr val="F6323E"/>
              </a:solidFill>
              <a:round/>
            </a:ln>
            <a:effectLst/>
          </c:spPr>
          <c:marker>
            <c:symbol val="circle"/>
            <c:size val="5"/>
            <c:spPr>
              <a:solidFill>
                <a:srgbClr val="F6323E"/>
              </a:solidFill>
              <a:ln w="9525">
                <a:solidFill>
                  <a:srgbClr val="F6323E"/>
                </a:solidFill>
              </a:ln>
              <a:effectLst/>
            </c:spPr>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69F-498E-A79E-AA8FB31B5E54}"/>
                </c:ext>
              </c:extLst>
            </c:dLbl>
            <c:dLbl>
              <c:idx val="2"/>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69F-498E-A79E-AA8FB31B5E54}"/>
                </c:ext>
              </c:extLst>
            </c:dLbl>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69F-498E-A79E-AA8FB31B5E54}"/>
                </c:ext>
              </c:extLst>
            </c:dLbl>
            <c:dLbl>
              <c:idx val="6"/>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69F-498E-A79E-AA8FB31B5E54}"/>
                </c:ext>
              </c:extLst>
            </c:dLbl>
            <c:dLbl>
              <c:idx val="8"/>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69F-498E-A79E-AA8FB31B5E54}"/>
                </c:ext>
              </c:extLst>
            </c:dLbl>
            <c:dLbl>
              <c:idx val="1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69F-498E-A79E-AA8FB31B5E5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'New way'!$B$44:$L$44</c:f>
              <c:strCache>
                <c:ptCount val="11"/>
                <c:pt idx="0">
                  <c:v>2007-08</c:v>
                </c:pt>
                <c:pt idx="1">
                  <c:v>2008-09</c:v>
                </c:pt>
                <c:pt idx="2">
                  <c:v>2009-10</c:v>
                </c:pt>
                <c:pt idx="3">
                  <c:v>2010-11</c:v>
                </c:pt>
                <c:pt idx="4">
                  <c:v>2011-12</c:v>
                </c:pt>
                <c:pt idx="5">
                  <c:v>2012-13</c:v>
                </c:pt>
                <c:pt idx="6">
                  <c:v>2013-14</c:v>
                </c:pt>
                <c:pt idx="7">
                  <c:v>2014-15</c:v>
                </c:pt>
                <c:pt idx="8">
                  <c:v>2015-16</c:v>
                </c:pt>
                <c:pt idx="9">
                  <c:v>2016-17</c:v>
                </c:pt>
                <c:pt idx="10">
                  <c:v>2017-18</c:v>
                </c:pt>
              </c:strCache>
            </c:strRef>
          </c:cat>
          <c:val>
            <c:numRef>
              <c:f>'New way'!$B$46:$L$46</c:f>
              <c:numCache>
                <c:formatCode>0.0%</c:formatCode>
                <c:ptCount val="11"/>
                <c:pt idx="0">
                  <c:v>5.8993845307271461E-2</c:v>
                </c:pt>
                <c:pt idx="1">
                  <c:v>6.0754181220816501E-2</c:v>
                </c:pt>
                <c:pt idx="2">
                  <c:v>0.11625260336840677</c:v>
                </c:pt>
                <c:pt idx="3">
                  <c:v>9.9583820149058699E-2</c:v>
                </c:pt>
                <c:pt idx="4">
                  <c:v>6.4654885906991325E-2</c:v>
                </c:pt>
                <c:pt idx="5">
                  <c:v>5.9779929163477213E-2</c:v>
                </c:pt>
                <c:pt idx="6">
                  <c:v>6.5078613603251484E-2</c:v>
                </c:pt>
                <c:pt idx="7">
                  <c:v>6.5325287513611371E-2</c:v>
                </c:pt>
                <c:pt idx="8">
                  <c:v>6.046474748043737E-2</c:v>
                </c:pt>
                <c:pt idx="9">
                  <c:v>6.099463435436444E-2</c:v>
                </c:pt>
                <c:pt idx="10">
                  <c:v>5.8647816515440883E-2</c:v>
                </c:pt>
              </c:numCache>
            </c:numRef>
          </c:val>
          <c:smooth val="0"/>
          <c:extLst>
            <c:ext xmlns:c16="http://schemas.microsoft.com/office/drawing/2014/chart" uri="{C3380CC4-5D6E-409C-BE32-E72D297353CC}">
              <c16:uniqueId val="{0000000D-E69F-498E-A79E-AA8FB31B5E54}"/>
            </c:ext>
          </c:extLst>
        </c:ser>
        <c:ser>
          <c:idx val="2"/>
          <c:order val="2"/>
          <c:tx>
            <c:strRef>
              <c:f>'New way'!$A$47</c:f>
              <c:strCache>
                <c:ptCount val="1"/>
                <c:pt idx="0">
                  <c:v>Local</c:v>
                </c:pt>
              </c:strCache>
            </c:strRef>
          </c:tx>
          <c:spPr>
            <a:ln w="28575" cap="rnd">
              <a:solidFill>
                <a:srgbClr val="82B400"/>
              </a:solidFill>
              <a:round/>
            </a:ln>
            <a:effectLst/>
          </c:spPr>
          <c:marker>
            <c:symbol val="circle"/>
            <c:size val="5"/>
            <c:spPr>
              <a:solidFill>
                <a:srgbClr val="82B400"/>
              </a:solidFill>
              <a:ln w="9525">
                <a:solidFill>
                  <a:srgbClr val="82B400"/>
                </a:solidFill>
              </a:ln>
              <a:effectLst/>
            </c:spPr>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69F-498E-A79E-AA8FB31B5E54}"/>
                </c:ext>
              </c:extLst>
            </c:dLbl>
            <c:dLbl>
              <c:idx val="2"/>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69F-498E-A79E-AA8FB31B5E54}"/>
                </c:ext>
              </c:extLst>
            </c:dLbl>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69F-498E-A79E-AA8FB31B5E54}"/>
                </c:ext>
              </c:extLst>
            </c:dLbl>
            <c:dLbl>
              <c:idx val="6"/>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69F-498E-A79E-AA8FB31B5E54}"/>
                </c:ext>
              </c:extLst>
            </c:dLbl>
            <c:dLbl>
              <c:idx val="8"/>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69F-498E-A79E-AA8FB31B5E54}"/>
                </c:ext>
              </c:extLst>
            </c:dLbl>
            <c:dLbl>
              <c:idx val="1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69F-498E-A79E-AA8FB31B5E5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'New way'!$B$44:$L$44</c:f>
              <c:strCache>
                <c:ptCount val="11"/>
                <c:pt idx="0">
                  <c:v>2007-08</c:v>
                </c:pt>
                <c:pt idx="1">
                  <c:v>2008-09</c:v>
                </c:pt>
                <c:pt idx="2">
                  <c:v>2009-10</c:v>
                </c:pt>
                <c:pt idx="3">
                  <c:v>2010-11</c:v>
                </c:pt>
                <c:pt idx="4">
                  <c:v>2011-12</c:v>
                </c:pt>
                <c:pt idx="5">
                  <c:v>2012-13</c:v>
                </c:pt>
                <c:pt idx="6">
                  <c:v>2013-14</c:v>
                </c:pt>
                <c:pt idx="7">
                  <c:v>2014-15</c:v>
                </c:pt>
                <c:pt idx="8">
                  <c:v>2015-16</c:v>
                </c:pt>
                <c:pt idx="9">
                  <c:v>2016-17</c:v>
                </c:pt>
                <c:pt idx="10">
                  <c:v>2017-18</c:v>
                </c:pt>
              </c:strCache>
            </c:strRef>
          </c:cat>
          <c:val>
            <c:numRef>
              <c:f>'New way'!$B$47:$L$47</c:f>
              <c:numCache>
                <c:formatCode>0.0%</c:formatCode>
                <c:ptCount val="11"/>
                <c:pt idx="0">
                  <c:v>0.58967405127287542</c:v>
                </c:pt>
                <c:pt idx="1">
                  <c:v>0.6008740805492061</c:v>
                </c:pt>
                <c:pt idx="2">
                  <c:v>0.56432404860021768</c:v>
                </c:pt>
                <c:pt idx="3">
                  <c:v>0.59910917378658768</c:v>
                </c:pt>
                <c:pt idx="4">
                  <c:v>0.63716983364226565</c:v>
                </c:pt>
                <c:pt idx="5">
                  <c:v>0.65728134591833454</c:v>
                </c:pt>
                <c:pt idx="6">
                  <c:v>0.66835607900016758</c:v>
                </c:pt>
                <c:pt idx="7">
                  <c:v>0.67577374934757406</c:v>
                </c:pt>
                <c:pt idx="8">
                  <c:v>0.69575780730694659</c:v>
                </c:pt>
                <c:pt idx="9">
                  <c:v>0.70638593882325773</c:v>
                </c:pt>
                <c:pt idx="10">
                  <c:v>0.71463427059510909</c:v>
                </c:pt>
              </c:numCache>
            </c:numRef>
          </c:val>
          <c:smooth val="0"/>
          <c:extLst>
            <c:ext xmlns:c16="http://schemas.microsoft.com/office/drawing/2014/chart" uri="{C3380CC4-5D6E-409C-BE32-E72D297353CC}">
              <c16:uniqueId val="{00000014-E69F-498E-A79E-AA8FB31B5E54}"/>
            </c:ext>
          </c:extLst>
        </c:ser>
        <c:dLbls>
          <c:showLegendKey val="0"/>
          <c:showVal val="0"/>
          <c:showCatName val="0"/>
          <c:showSerName val="0"/>
          <c:showPercent val="0"/>
          <c:showBubbleSize val="0"/>
        </c:dLbls>
        <c:marker val="1"/>
        <c:smooth val="0"/>
        <c:axId val="910322360"/>
        <c:axId val="910322688"/>
      </c:lineChart>
      <c:catAx>
        <c:axId val="910322360"/>
        <c:scaling>
          <c:orientation val="minMax"/>
        </c:scaling>
        <c:delete val="0"/>
        <c:axPos val="b"/>
        <c:numFmt formatCode="General" sourceLinked="1"/>
        <c:majorTickMark val="cross"/>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910322688"/>
        <c:crosses val="autoZero"/>
        <c:auto val="1"/>
        <c:lblAlgn val="ctr"/>
        <c:lblOffset val="100"/>
        <c:noMultiLvlLbl val="0"/>
      </c:catAx>
      <c:valAx>
        <c:axId val="910322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910322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t>Special</a:t>
            </a:r>
            <a:r>
              <a:rPr lang="en-US" baseline="0"/>
              <a:t> Education Funding by Source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stacked"/>
        <c:varyColors val="0"/>
        <c:ser>
          <c:idx val="0"/>
          <c:order val="0"/>
          <c:tx>
            <c:strRef>
              <c:f>'New way'!$A$40</c:f>
              <c:strCache>
                <c:ptCount val="1"/>
                <c:pt idx="0">
                  <c:v>State</c:v>
                </c:pt>
              </c:strCache>
            </c:strRef>
          </c:tx>
          <c:spPr>
            <a:solidFill>
              <a:srgbClr val="00ADEF"/>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CD9-4B9F-B43F-4DF0E678D140}"/>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CD9-4B9F-B43F-4DF0E678D140}"/>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CD9-4B9F-B43F-4DF0E678D140}"/>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CD9-4B9F-B43F-4DF0E678D140}"/>
                </c:ext>
              </c:extLst>
            </c:dLbl>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CD9-4B9F-B43F-4DF0E678D140}"/>
                </c:ext>
              </c:extLst>
            </c:dLbl>
            <c:dLbl>
              <c:idx val="1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CD9-4B9F-B43F-4DF0E678D140}"/>
                </c:ext>
              </c:extLst>
            </c:dLbl>
            <c:numFmt formatCode="&quot;$&quot;#,##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'New way'!$B$39:$L$39</c:f>
              <c:strCache>
                <c:ptCount val="11"/>
                <c:pt idx="0">
                  <c:v>2007-08</c:v>
                </c:pt>
                <c:pt idx="1">
                  <c:v>2008-09</c:v>
                </c:pt>
                <c:pt idx="2">
                  <c:v>2009-10</c:v>
                </c:pt>
                <c:pt idx="3">
                  <c:v>2010-11</c:v>
                </c:pt>
                <c:pt idx="4">
                  <c:v>2011-12</c:v>
                </c:pt>
                <c:pt idx="5">
                  <c:v>2012-13</c:v>
                </c:pt>
                <c:pt idx="6">
                  <c:v>2013-14</c:v>
                </c:pt>
                <c:pt idx="7">
                  <c:v>2014-15</c:v>
                </c:pt>
                <c:pt idx="8">
                  <c:v>2015-16</c:v>
                </c:pt>
                <c:pt idx="9">
                  <c:v>2016-17</c:v>
                </c:pt>
                <c:pt idx="10">
                  <c:v>2017-18</c:v>
                </c:pt>
              </c:strCache>
            </c:strRef>
          </c:cat>
          <c:val>
            <c:numRef>
              <c:f>'New way'!$B$40:$L$40</c:f>
              <c:numCache>
                <c:formatCode>"$"#,##0.00</c:formatCode>
                <c:ptCount val="11"/>
                <c:pt idx="0" formatCode="&quot;$&quot;#,##0">
                  <c:v>956541581.35000062</c:v>
                </c:pt>
                <c:pt idx="1">
                  <c:v>974196187.96000004</c:v>
                </c:pt>
                <c:pt idx="2">
                  <c:v>985302633.33000052</c:v>
                </c:pt>
                <c:pt idx="3">
                  <c:v>981428335.6499995</c:v>
                </c:pt>
                <c:pt idx="4">
                  <c:v>989948664.26999986</c:v>
                </c:pt>
                <c:pt idx="5">
                  <c:v>991736872.44999993</c:v>
                </c:pt>
                <c:pt idx="6">
                  <c:v>996659414.13999963</c:v>
                </c:pt>
                <c:pt idx="7">
                  <c:v>1018959002.2299995</c:v>
                </c:pt>
                <c:pt idx="8">
                  <c:v>1022576019.7299997</c:v>
                </c:pt>
                <c:pt idx="9">
                  <c:v>1043943130.4900002</c:v>
                </c:pt>
                <c:pt idx="10" formatCode="&quot;$&quot;#,##0">
                  <c:v>1066575404.6</c:v>
                </c:pt>
              </c:numCache>
            </c:numRef>
          </c:val>
          <c:extLst>
            <c:ext xmlns:c16="http://schemas.microsoft.com/office/drawing/2014/chart" uri="{C3380CC4-5D6E-409C-BE32-E72D297353CC}">
              <c16:uniqueId val="{00000006-BCD9-4B9F-B43F-4DF0E678D140}"/>
            </c:ext>
          </c:extLst>
        </c:ser>
        <c:ser>
          <c:idx val="1"/>
          <c:order val="1"/>
          <c:tx>
            <c:strRef>
              <c:f>'New way'!$A$41</c:f>
              <c:strCache>
                <c:ptCount val="1"/>
                <c:pt idx="0">
                  <c:v>Federal</c:v>
                </c:pt>
              </c:strCache>
            </c:strRef>
          </c:tx>
          <c:spPr>
            <a:solidFill>
              <a:srgbClr val="F6323E"/>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CD9-4B9F-B43F-4DF0E678D140}"/>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CD9-4B9F-B43F-4DF0E678D140}"/>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CD9-4B9F-B43F-4DF0E678D140}"/>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CD9-4B9F-B43F-4DF0E678D140}"/>
                </c:ext>
              </c:extLst>
            </c:dLbl>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CD9-4B9F-B43F-4DF0E678D140}"/>
                </c:ext>
              </c:extLst>
            </c:dLbl>
            <c:dLbl>
              <c:idx val="1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CD9-4B9F-B43F-4DF0E678D140}"/>
                </c:ext>
              </c:extLst>
            </c:dLbl>
            <c:numFmt formatCode="&quot;$&quot;#,##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'New way'!$B$39:$L$39</c:f>
              <c:strCache>
                <c:ptCount val="11"/>
                <c:pt idx="0">
                  <c:v>2007-08</c:v>
                </c:pt>
                <c:pt idx="1">
                  <c:v>2008-09</c:v>
                </c:pt>
                <c:pt idx="2">
                  <c:v>2009-10</c:v>
                </c:pt>
                <c:pt idx="3">
                  <c:v>2010-11</c:v>
                </c:pt>
                <c:pt idx="4">
                  <c:v>2011-12</c:v>
                </c:pt>
                <c:pt idx="5">
                  <c:v>2012-13</c:v>
                </c:pt>
                <c:pt idx="6">
                  <c:v>2013-14</c:v>
                </c:pt>
                <c:pt idx="7">
                  <c:v>2014-15</c:v>
                </c:pt>
                <c:pt idx="8">
                  <c:v>2015-16</c:v>
                </c:pt>
                <c:pt idx="9">
                  <c:v>2016-17</c:v>
                </c:pt>
                <c:pt idx="10">
                  <c:v>2017-18</c:v>
                </c:pt>
              </c:strCache>
            </c:strRef>
          </c:cat>
          <c:val>
            <c:numRef>
              <c:f>'New way'!$B$41:$L$41</c:f>
              <c:numCache>
                <c:formatCode>"$"#,##0.00</c:formatCode>
                <c:ptCount val="11"/>
                <c:pt idx="0" formatCode="&quot;$&quot;#,##0">
                  <c:v>160617448.64999998</c:v>
                </c:pt>
                <c:pt idx="1">
                  <c:v>174915588.56999996</c:v>
                </c:pt>
                <c:pt idx="2">
                  <c:v>358596191.97000003</c:v>
                </c:pt>
                <c:pt idx="3">
                  <c:v>324368105.94999999</c:v>
                </c:pt>
                <c:pt idx="4">
                  <c:v>214655681.20000002</c:v>
                </c:pt>
                <c:pt idx="5">
                  <c:v>209536393.44</c:v>
                </c:pt>
                <c:pt idx="6">
                  <c:v>243322034.43999997</c:v>
                </c:pt>
                <c:pt idx="7">
                  <c:v>257101360.21999991</c:v>
                </c:pt>
                <c:pt idx="8">
                  <c:v>253632163.37999982</c:v>
                </c:pt>
                <c:pt idx="9">
                  <c:v>273730059.43999976</c:v>
                </c:pt>
                <c:pt idx="10" formatCode="&quot;$&quot;#,##0">
                  <c:v>275903733.54999995</c:v>
                </c:pt>
              </c:numCache>
            </c:numRef>
          </c:val>
          <c:extLst>
            <c:ext xmlns:c16="http://schemas.microsoft.com/office/drawing/2014/chart" uri="{C3380CC4-5D6E-409C-BE32-E72D297353CC}">
              <c16:uniqueId val="{0000000D-BCD9-4B9F-B43F-4DF0E678D140}"/>
            </c:ext>
          </c:extLst>
        </c:ser>
        <c:ser>
          <c:idx val="2"/>
          <c:order val="2"/>
          <c:tx>
            <c:strRef>
              <c:f>'New way'!$A$42</c:f>
              <c:strCache>
                <c:ptCount val="1"/>
                <c:pt idx="0">
                  <c:v>Local</c:v>
                </c:pt>
              </c:strCache>
            </c:strRef>
          </c:tx>
          <c:spPr>
            <a:solidFill>
              <a:srgbClr val="82B400"/>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CD9-4B9F-B43F-4DF0E678D140}"/>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CD9-4B9F-B43F-4DF0E678D140}"/>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CD9-4B9F-B43F-4DF0E678D140}"/>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CD9-4B9F-B43F-4DF0E678D140}"/>
                </c:ext>
              </c:extLst>
            </c:dLbl>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CD9-4B9F-B43F-4DF0E678D140}"/>
                </c:ext>
              </c:extLst>
            </c:dLbl>
            <c:dLbl>
              <c:idx val="1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CD9-4B9F-B43F-4DF0E678D140}"/>
                </c:ext>
              </c:extLst>
            </c:dLbl>
            <c:numFmt formatCode="&quot;$&quot;#,##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'New way'!$B$39:$L$39</c:f>
              <c:strCache>
                <c:ptCount val="11"/>
                <c:pt idx="0">
                  <c:v>2007-08</c:v>
                </c:pt>
                <c:pt idx="1">
                  <c:v>2008-09</c:v>
                </c:pt>
                <c:pt idx="2">
                  <c:v>2009-10</c:v>
                </c:pt>
                <c:pt idx="3">
                  <c:v>2010-11</c:v>
                </c:pt>
                <c:pt idx="4">
                  <c:v>2011-12</c:v>
                </c:pt>
                <c:pt idx="5">
                  <c:v>2012-13</c:v>
                </c:pt>
                <c:pt idx="6">
                  <c:v>2013-14</c:v>
                </c:pt>
                <c:pt idx="7">
                  <c:v>2014-15</c:v>
                </c:pt>
                <c:pt idx="8">
                  <c:v>2015-16</c:v>
                </c:pt>
                <c:pt idx="9">
                  <c:v>2016-17</c:v>
                </c:pt>
                <c:pt idx="10">
                  <c:v>2017-18</c:v>
                </c:pt>
              </c:strCache>
            </c:strRef>
          </c:cat>
          <c:val>
            <c:numRef>
              <c:f>'New way'!$B$42:$L$42</c:f>
              <c:numCache>
                <c:formatCode>"$"#,##0.00</c:formatCode>
                <c:ptCount val="11"/>
                <c:pt idx="0" formatCode="&quot;$&quot;#,##0">
                  <c:v>1605454622.5499988</c:v>
                </c:pt>
                <c:pt idx="1">
                  <c:v>1729959014.2399986</c:v>
                </c:pt>
                <c:pt idx="2">
                  <c:v>1740730521.309999</c:v>
                </c:pt>
                <c:pt idx="3">
                  <c:v>1951440582.0899982</c:v>
                </c:pt>
                <c:pt idx="4">
                  <c:v>2115418235.7899985</c:v>
                </c:pt>
                <c:pt idx="5">
                  <c:v>2303856237.8099995</c:v>
                </c:pt>
                <c:pt idx="6">
                  <c:v>2498912497.7999983</c:v>
                </c:pt>
                <c:pt idx="7">
                  <c:v>2659649222.7000012</c:v>
                </c:pt>
                <c:pt idx="8">
                  <c:v>2918503180.9300041</c:v>
                </c:pt>
                <c:pt idx="9">
                  <c:v>3170099584.4700012</c:v>
                </c:pt>
                <c:pt idx="10" formatCode="&quot;$&quot;#,##0">
                  <c:v>3361936984.1000009</c:v>
                </c:pt>
              </c:numCache>
            </c:numRef>
          </c:val>
          <c:extLst>
            <c:ext xmlns:c16="http://schemas.microsoft.com/office/drawing/2014/chart" uri="{C3380CC4-5D6E-409C-BE32-E72D297353CC}">
              <c16:uniqueId val="{00000014-BCD9-4B9F-B43F-4DF0E678D140}"/>
            </c:ext>
          </c:extLst>
        </c:ser>
        <c:dLbls>
          <c:showLegendKey val="0"/>
          <c:showVal val="0"/>
          <c:showCatName val="0"/>
          <c:showSerName val="0"/>
          <c:showPercent val="0"/>
          <c:showBubbleSize val="0"/>
        </c:dLbls>
        <c:gapWidth val="80"/>
        <c:overlap val="100"/>
        <c:axId val="890722528"/>
        <c:axId val="890725808"/>
      </c:barChart>
      <c:lineChart>
        <c:grouping val="standard"/>
        <c:varyColors val="0"/>
        <c:ser>
          <c:idx val="3"/>
          <c:order val="3"/>
          <c:tx>
            <c:strRef>
              <c:f>'New way'!$A$43</c:f>
              <c:strCache>
                <c:ptCount val="1"/>
                <c:pt idx="0">
                  <c:v>SE Expenses</c:v>
                </c:pt>
              </c:strCache>
            </c:strRef>
          </c:tx>
          <c:spPr>
            <a:ln w="28575" cap="rnd">
              <a:solidFill>
                <a:srgbClr val="F38A00"/>
              </a:solidFill>
              <a:round/>
            </a:ln>
            <a:effectLst/>
          </c:spPr>
          <c:marker>
            <c:symbol val="square"/>
            <c:size val="5"/>
            <c:spPr>
              <a:solidFill>
                <a:srgbClr val="F38A00"/>
              </a:solidFill>
              <a:ln w="9525">
                <a:solidFill>
                  <a:srgbClr val="F38A00"/>
                </a:solidFill>
              </a:ln>
              <a:effectLst/>
            </c:spPr>
          </c:marker>
          <c:dLbls>
            <c:dLbl>
              <c:idx val="1"/>
              <c:delete val="1"/>
              <c:extLst>
                <c:ext xmlns:c15="http://schemas.microsoft.com/office/drawing/2012/chart" uri="{CE6537A1-D6FC-4f65-9D91-7224C49458BB}"/>
                <c:ext xmlns:c16="http://schemas.microsoft.com/office/drawing/2014/chart" uri="{C3380CC4-5D6E-409C-BE32-E72D297353CC}">
                  <c16:uniqueId val="{00000015-BCD9-4B9F-B43F-4DF0E678D140}"/>
                </c:ext>
              </c:extLst>
            </c:dLbl>
            <c:dLbl>
              <c:idx val="3"/>
              <c:delete val="1"/>
              <c:extLst>
                <c:ext xmlns:c15="http://schemas.microsoft.com/office/drawing/2012/chart" uri="{CE6537A1-D6FC-4f65-9D91-7224C49458BB}"/>
                <c:ext xmlns:c16="http://schemas.microsoft.com/office/drawing/2014/chart" uri="{C3380CC4-5D6E-409C-BE32-E72D297353CC}">
                  <c16:uniqueId val="{00000016-BCD9-4B9F-B43F-4DF0E678D140}"/>
                </c:ext>
              </c:extLst>
            </c:dLbl>
            <c:dLbl>
              <c:idx val="5"/>
              <c:delete val="1"/>
              <c:extLst>
                <c:ext xmlns:c15="http://schemas.microsoft.com/office/drawing/2012/chart" uri="{CE6537A1-D6FC-4f65-9D91-7224C49458BB}"/>
                <c:ext xmlns:c16="http://schemas.microsoft.com/office/drawing/2014/chart" uri="{C3380CC4-5D6E-409C-BE32-E72D297353CC}">
                  <c16:uniqueId val="{00000017-BCD9-4B9F-B43F-4DF0E678D140}"/>
                </c:ext>
              </c:extLst>
            </c:dLbl>
            <c:dLbl>
              <c:idx val="7"/>
              <c:delete val="1"/>
              <c:extLst>
                <c:ext xmlns:c15="http://schemas.microsoft.com/office/drawing/2012/chart" uri="{CE6537A1-D6FC-4f65-9D91-7224C49458BB}"/>
                <c:ext xmlns:c16="http://schemas.microsoft.com/office/drawing/2014/chart" uri="{C3380CC4-5D6E-409C-BE32-E72D297353CC}">
                  <c16:uniqueId val="{00000018-BCD9-4B9F-B43F-4DF0E678D140}"/>
                </c:ext>
              </c:extLst>
            </c:dLbl>
            <c:dLbl>
              <c:idx val="9"/>
              <c:delete val="1"/>
              <c:extLst>
                <c:ext xmlns:c15="http://schemas.microsoft.com/office/drawing/2012/chart" uri="{CE6537A1-D6FC-4f65-9D91-7224C49458BB}"/>
                <c:ext xmlns:c16="http://schemas.microsoft.com/office/drawing/2014/chart" uri="{C3380CC4-5D6E-409C-BE32-E72D297353CC}">
                  <c16:uniqueId val="{00000019-BCD9-4B9F-B43F-4DF0E678D140}"/>
                </c:ext>
              </c:extLst>
            </c:dLbl>
            <c:numFmt formatCode="&quot;$&quot;#,##0.00" sourceLinked="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'New way'!$B$39:$L$39</c:f>
              <c:strCache>
                <c:ptCount val="11"/>
                <c:pt idx="0">
                  <c:v>2007-08</c:v>
                </c:pt>
                <c:pt idx="1">
                  <c:v>2008-09</c:v>
                </c:pt>
                <c:pt idx="2">
                  <c:v>2009-10</c:v>
                </c:pt>
                <c:pt idx="3">
                  <c:v>2010-11</c:v>
                </c:pt>
                <c:pt idx="4">
                  <c:v>2011-12</c:v>
                </c:pt>
                <c:pt idx="5">
                  <c:v>2012-13</c:v>
                </c:pt>
                <c:pt idx="6">
                  <c:v>2013-14</c:v>
                </c:pt>
                <c:pt idx="7">
                  <c:v>2014-15</c:v>
                </c:pt>
                <c:pt idx="8">
                  <c:v>2015-16</c:v>
                </c:pt>
                <c:pt idx="9">
                  <c:v>2016-17</c:v>
                </c:pt>
                <c:pt idx="10">
                  <c:v>2017-18</c:v>
                </c:pt>
              </c:strCache>
            </c:strRef>
          </c:cat>
          <c:val>
            <c:numRef>
              <c:f>'New way'!$B$43:$L$43</c:f>
              <c:numCache>
                <c:formatCode>"$"#,##0.00</c:formatCode>
                <c:ptCount val="11"/>
                <c:pt idx="0" formatCode="&quot;$&quot;#,##0">
                  <c:v>2722613652.5499992</c:v>
                </c:pt>
                <c:pt idx="1">
                  <c:v>2879070790.7699986</c:v>
                </c:pt>
                <c:pt idx="2">
                  <c:v>3084629346.6099997</c:v>
                </c:pt>
                <c:pt idx="3">
                  <c:v>3257237023.6899977</c:v>
                </c:pt>
                <c:pt idx="4">
                  <c:v>3320022581.2599983</c:v>
                </c:pt>
                <c:pt idx="5">
                  <c:v>3505129503.6999993</c:v>
                </c:pt>
                <c:pt idx="6">
                  <c:v>3738893946.3799982</c:v>
                </c:pt>
                <c:pt idx="7">
                  <c:v>3935709585.1500006</c:v>
                </c:pt>
                <c:pt idx="8">
                  <c:v>4194711364.0400038</c:v>
                </c:pt>
                <c:pt idx="9">
                  <c:v>4487772774.4000015</c:v>
                </c:pt>
                <c:pt idx="10" formatCode="&quot;$&quot;#,##0">
                  <c:v>4704416122.250001</c:v>
                </c:pt>
              </c:numCache>
            </c:numRef>
          </c:val>
          <c:smooth val="0"/>
          <c:extLst>
            <c:ext xmlns:c16="http://schemas.microsoft.com/office/drawing/2014/chart" uri="{C3380CC4-5D6E-409C-BE32-E72D297353CC}">
              <c16:uniqueId val="{0000001A-BCD9-4B9F-B43F-4DF0E678D140}"/>
            </c:ext>
          </c:extLst>
        </c:ser>
        <c:dLbls>
          <c:showLegendKey val="0"/>
          <c:showVal val="0"/>
          <c:showCatName val="0"/>
          <c:showSerName val="0"/>
          <c:showPercent val="0"/>
          <c:showBubbleSize val="0"/>
        </c:dLbls>
        <c:marker val="1"/>
        <c:smooth val="0"/>
        <c:axId val="890722528"/>
        <c:axId val="890725808"/>
      </c:lineChart>
      <c:catAx>
        <c:axId val="890722528"/>
        <c:scaling>
          <c:orientation val="minMax"/>
        </c:scaling>
        <c:delete val="0"/>
        <c:axPos val="b"/>
        <c:numFmt formatCode="General" sourceLinked="1"/>
        <c:majorTickMark val="cross"/>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890725808"/>
        <c:crosses val="autoZero"/>
        <c:auto val="1"/>
        <c:lblAlgn val="ctr"/>
        <c:lblOffset val="100"/>
        <c:noMultiLvlLbl val="0"/>
      </c:catAx>
      <c:valAx>
        <c:axId val="890725808"/>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890722528"/>
        <c:crosses val="autoZero"/>
        <c:crossBetween val="between"/>
        <c:dispUnits>
          <c:builtInUnit val="b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t>State</a:t>
            </a:r>
            <a:r>
              <a:rPr lang="en-US" baseline="0"/>
              <a:t> and Federal SE Funding vs SE Expenditures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stacked"/>
        <c:varyColors val="0"/>
        <c:ser>
          <c:idx val="0"/>
          <c:order val="0"/>
          <c:tx>
            <c:strRef>
              <c:f>'New way'!$A$60</c:f>
              <c:strCache>
                <c:ptCount val="1"/>
                <c:pt idx="0">
                  <c:v>State</c:v>
                </c:pt>
              </c:strCache>
            </c:strRef>
          </c:tx>
          <c:spPr>
            <a:solidFill>
              <a:srgbClr val="00ADEF"/>
            </a:solidFill>
            <a:ln>
              <a:noFill/>
            </a:ln>
            <a:effectLst/>
          </c:spPr>
          <c:invertIfNegative val="0"/>
          <c:cat>
            <c:strRef>
              <c:f>'New way'!$B$59:$W$59</c:f>
              <c:strCache>
                <c:ptCount val="21"/>
                <c:pt idx="0">
                  <c:v>2007-08</c:v>
                </c:pt>
                <c:pt idx="2">
                  <c:v>2008-09</c:v>
                </c:pt>
                <c:pt idx="4">
                  <c:v>2009-10</c:v>
                </c:pt>
                <c:pt idx="6">
                  <c:v>2010-11</c:v>
                </c:pt>
                <c:pt idx="8">
                  <c:v>2011-12</c:v>
                </c:pt>
                <c:pt idx="10">
                  <c:v>2012-13</c:v>
                </c:pt>
                <c:pt idx="12">
                  <c:v>2013-14</c:v>
                </c:pt>
                <c:pt idx="14">
                  <c:v>2014-15</c:v>
                </c:pt>
                <c:pt idx="16">
                  <c:v>2015-16</c:v>
                </c:pt>
                <c:pt idx="18">
                  <c:v>2016-17</c:v>
                </c:pt>
                <c:pt idx="20">
                  <c:v>2017-18</c:v>
                </c:pt>
              </c:strCache>
            </c:strRef>
          </c:cat>
          <c:val>
            <c:numRef>
              <c:f>'New way'!$B$60:$W$60</c:f>
              <c:numCache>
                <c:formatCode>General</c:formatCode>
                <c:ptCount val="22"/>
                <c:pt idx="0" formatCode="&quot;$&quot;#,##0">
                  <c:v>956541581.35000062</c:v>
                </c:pt>
                <c:pt idx="2" formatCode="&quot;$&quot;#,##0">
                  <c:v>974196187.96000004</c:v>
                </c:pt>
                <c:pt idx="4" formatCode="&quot;$&quot;#,##0">
                  <c:v>985302633.33000052</c:v>
                </c:pt>
                <c:pt idx="6" formatCode="&quot;$&quot;#,##0">
                  <c:v>981428335.6499995</c:v>
                </c:pt>
                <c:pt idx="8" formatCode="&quot;$&quot;#,##0">
                  <c:v>989948664.26999986</c:v>
                </c:pt>
                <c:pt idx="10" formatCode="&quot;$&quot;#,##0">
                  <c:v>991736872.44999993</c:v>
                </c:pt>
                <c:pt idx="12" formatCode="&quot;$&quot;#,##0">
                  <c:v>996659414.13999963</c:v>
                </c:pt>
                <c:pt idx="14" formatCode="&quot;$&quot;#,##0">
                  <c:v>1018959002.2299995</c:v>
                </c:pt>
                <c:pt idx="16" formatCode="&quot;$&quot;#,##0">
                  <c:v>1022576019.7299997</c:v>
                </c:pt>
                <c:pt idx="18" formatCode="&quot;$&quot;#,##0">
                  <c:v>1043943130.4900002</c:v>
                </c:pt>
                <c:pt idx="20" formatCode="&quot;$&quot;#,##0">
                  <c:v>1066575404.6</c:v>
                </c:pt>
              </c:numCache>
            </c:numRef>
          </c:val>
          <c:extLst>
            <c:ext xmlns:c16="http://schemas.microsoft.com/office/drawing/2014/chart" uri="{C3380CC4-5D6E-409C-BE32-E72D297353CC}">
              <c16:uniqueId val="{00000000-7F02-4655-9264-865E24565121}"/>
            </c:ext>
          </c:extLst>
        </c:ser>
        <c:ser>
          <c:idx val="1"/>
          <c:order val="1"/>
          <c:tx>
            <c:strRef>
              <c:f>'New way'!$A$61</c:f>
              <c:strCache>
                <c:ptCount val="1"/>
                <c:pt idx="0">
                  <c:v>Federal</c:v>
                </c:pt>
              </c:strCache>
            </c:strRef>
          </c:tx>
          <c:spPr>
            <a:solidFill>
              <a:srgbClr val="F6323E"/>
            </a:solidFill>
            <a:ln>
              <a:noFill/>
            </a:ln>
            <a:effectLst/>
          </c:spPr>
          <c:invertIfNegative val="0"/>
          <c:cat>
            <c:strRef>
              <c:f>'New way'!$B$59:$W$59</c:f>
              <c:strCache>
                <c:ptCount val="21"/>
                <c:pt idx="0">
                  <c:v>2007-08</c:v>
                </c:pt>
                <c:pt idx="2">
                  <c:v>2008-09</c:v>
                </c:pt>
                <c:pt idx="4">
                  <c:v>2009-10</c:v>
                </c:pt>
                <c:pt idx="6">
                  <c:v>2010-11</c:v>
                </c:pt>
                <c:pt idx="8">
                  <c:v>2011-12</c:v>
                </c:pt>
                <c:pt idx="10">
                  <c:v>2012-13</c:v>
                </c:pt>
                <c:pt idx="12">
                  <c:v>2013-14</c:v>
                </c:pt>
                <c:pt idx="14">
                  <c:v>2014-15</c:v>
                </c:pt>
                <c:pt idx="16">
                  <c:v>2015-16</c:v>
                </c:pt>
                <c:pt idx="18">
                  <c:v>2016-17</c:v>
                </c:pt>
                <c:pt idx="20">
                  <c:v>2017-18</c:v>
                </c:pt>
              </c:strCache>
            </c:strRef>
          </c:cat>
          <c:val>
            <c:numRef>
              <c:f>'New way'!$B$61:$W$61</c:f>
              <c:numCache>
                <c:formatCode>General</c:formatCode>
                <c:ptCount val="22"/>
                <c:pt idx="0" formatCode="&quot;$&quot;#,##0">
                  <c:v>160617448.64999998</c:v>
                </c:pt>
                <c:pt idx="2" formatCode="&quot;$&quot;#,##0">
                  <c:v>174915588.56999996</c:v>
                </c:pt>
                <c:pt idx="4" formatCode="&quot;$&quot;#,##0">
                  <c:v>358596191.97000003</c:v>
                </c:pt>
                <c:pt idx="6" formatCode="&quot;$&quot;#,##0">
                  <c:v>324368105.94999999</c:v>
                </c:pt>
                <c:pt idx="8" formatCode="&quot;$&quot;#,##0">
                  <c:v>214655681.20000002</c:v>
                </c:pt>
                <c:pt idx="10" formatCode="&quot;$&quot;#,##0">
                  <c:v>209536393.44</c:v>
                </c:pt>
                <c:pt idx="12" formatCode="&quot;$&quot;#,##0">
                  <c:v>243322034.43999997</c:v>
                </c:pt>
                <c:pt idx="14" formatCode="&quot;$&quot;#,##0">
                  <c:v>257101360.21999991</c:v>
                </c:pt>
                <c:pt idx="16" formatCode="&quot;$&quot;#,##0">
                  <c:v>253632163.37999982</c:v>
                </c:pt>
                <c:pt idx="18" formatCode="&quot;$&quot;#,##0">
                  <c:v>273730059.43999976</c:v>
                </c:pt>
                <c:pt idx="20" formatCode="&quot;$&quot;#,##0">
                  <c:v>275903733.54999995</c:v>
                </c:pt>
              </c:numCache>
            </c:numRef>
          </c:val>
          <c:extLst>
            <c:ext xmlns:c16="http://schemas.microsoft.com/office/drawing/2014/chart" uri="{C3380CC4-5D6E-409C-BE32-E72D297353CC}">
              <c16:uniqueId val="{00000001-7F02-4655-9264-865E24565121}"/>
            </c:ext>
          </c:extLst>
        </c:ser>
        <c:ser>
          <c:idx val="3"/>
          <c:order val="3"/>
          <c:tx>
            <c:strRef>
              <c:f>'New way'!$A$64</c:f>
              <c:strCache>
                <c:ptCount val="1"/>
                <c:pt idx="0">
                  <c:v>SE Expenses</c:v>
                </c:pt>
              </c:strCache>
            </c:strRef>
          </c:tx>
          <c:spPr>
            <a:solidFill>
              <a:srgbClr val="F38A00"/>
            </a:solidFill>
            <a:ln>
              <a:noFill/>
            </a:ln>
            <a:effectLst/>
          </c:spPr>
          <c:invertIfNegative val="0"/>
          <c:dLbls>
            <c:numFmt formatCode="&quot;$&quot;#,##0.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'New way'!$B$59:$W$59</c:f>
              <c:strCache>
                <c:ptCount val="21"/>
                <c:pt idx="0">
                  <c:v>2007-08</c:v>
                </c:pt>
                <c:pt idx="2">
                  <c:v>2008-09</c:v>
                </c:pt>
                <c:pt idx="4">
                  <c:v>2009-10</c:v>
                </c:pt>
                <c:pt idx="6">
                  <c:v>2010-11</c:v>
                </c:pt>
                <c:pt idx="8">
                  <c:v>2011-12</c:v>
                </c:pt>
                <c:pt idx="10">
                  <c:v>2012-13</c:v>
                </c:pt>
                <c:pt idx="12">
                  <c:v>2013-14</c:v>
                </c:pt>
                <c:pt idx="14">
                  <c:v>2014-15</c:v>
                </c:pt>
                <c:pt idx="16">
                  <c:v>2015-16</c:v>
                </c:pt>
                <c:pt idx="18">
                  <c:v>2016-17</c:v>
                </c:pt>
                <c:pt idx="20">
                  <c:v>2017-18</c:v>
                </c:pt>
              </c:strCache>
            </c:strRef>
          </c:cat>
          <c:val>
            <c:numRef>
              <c:f>'New way'!$B$64:$W$64</c:f>
              <c:numCache>
                <c:formatCode>"$"#,##0</c:formatCode>
                <c:ptCount val="22"/>
                <c:pt idx="1">
                  <c:v>2722613652.5499992</c:v>
                </c:pt>
                <c:pt idx="3">
                  <c:v>2879070790.7699986</c:v>
                </c:pt>
                <c:pt idx="5">
                  <c:v>3084629346.6099997</c:v>
                </c:pt>
                <c:pt idx="7">
                  <c:v>3257237023.6899977</c:v>
                </c:pt>
                <c:pt idx="9">
                  <c:v>3320022581.2599983</c:v>
                </c:pt>
                <c:pt idx="11">
                  <c:v>3505129503.6999993</c:v>
                </c:pt>
                <c:pt idx="13">
                  <c:v>3738893946.3799982</c:v>
                </c:pt>
                <c:pt idx="15">
                  <c:v>3935709585.1500006</c:v>
                </c:pt>
                <c:pt idx="17">
                  <c:v>4194711364.0400038</c:v>
                </c:pt>
                <c:pt idx="19">
                  <c:v>4487772774.4000015</c:v>
                </c:pt>
                <c:pt idx="21">
                  <c:v>4704416122.250001</c:v>
                </c:pt>
              </c:numCache>
            </c:numRef>
          </c:val>
          <c:extLst>
            <c:ext xmlns:c16="http://schemas.microsoft.com/office/drawing/2014/chart" uri="{C3380CC4-5D6E-409C-BE32-E72D297353CC}">
              <c16:uniqueId val="{00000002-7F02-4655-9264-865E24565121}"/>
            </c:ext>
          </c:extLst>
        </c:ser>
        <c:dLbls>
          <c:showLegendKey val="0"/>
          <c:showVal val="0"/>
          <c:showCatName val="0"/>
          <c:showSerName val="0"/>
          <c:showPercent val="0"/>
          <c:showBubbleSize val="0"/>
        </c:dLbls>
        <c:gapWidth val="80"/>
        <c:overlap val="100"/>
        <c:axId val="874917712"/>
        <c:axId val="874919352"/>
      </c:barChart>
      <c:lineChart>
        <c:grouping val="standard"/>
        <c:varyColors val="0"/>
        <c:ser>
          <c:idx val="2"/>
          <c:order val="2"/>
          <c:tx>
            <c:strRef>
              <c:f>'New way'!$A$62</c:f>
              <c:strCache>
                <c:ptCount val="1"/>
              </c:strCache>
            </c:strRef>
          </c:tx>
          <c:spPr>
            <a:ln w="28575" cap="rnd">
              <a:noFill/>
              <a:round/>
            </a:ln>
            <a:effectLst/>
          </c:spPr>
          <c:marker>
            <c:symbol val="none"/>
          </c:marker>
          <c:dLbls>
            <c:numFmt formatCode="&quot;$&quot;#,##0.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'New way'!$B$59:$W$59</c:f>
              <c:strCache>
                <c:ptCount val="21"/>
                <c:pt idx="0">
                  <c:v>2007-08</c:v>
                </c:pt>
                <c:pt idx="2">
                  <c:v>2008-09</c:v>
                </c:pt>
                <c:pt idx="4">
                  <c:v>2009-10</c:v>
                </c:pt>
                <c:pt idx="6">
                  <c:v>2010-11</c:v>
                </c:pt>
                <c:pt idx="8">
                  <c:v>2011-12</c:v>
                </c:pt>
                <c:pt idx="10">
                  <c:v>2012-13</c:v>
                </c:pt>
                <c:pt idx="12">
                  <c:v>2013-14</c:v>
                </c:pt>
                <c:pt idx="14">
                  <c:v>2014-15</c:v>
                </c:pt>
                <c:pt idx="16">
                  <c:v>2015-16</c:v>
                </c:pt>
                <c:pt idx="18">
                  <c:v>2016-17</c:v>
                </c:pt>
                <c:pt idx="20">
                  <c:v>2017-18</c:v>
                </c:pt>
              </c:strCache>
            </c:strRef>
          </c:cat>
          <c:val>
            <c:numRef>
              <c:f>'New way'!$B$62:$W$62</c:f>
              <c:numCache>
                <c:formatCode>General</c:formatCode>
                <c:ptCount val="22"/>
                <c:pt idx="0" formatCode="&quot;$&quot;#,##0">
                  <c:v>1117159030.0000005</c:v>
                </c:pt>
                <c:pt idx="2" formatCode="&quot;$&quot;#,##0">
                  <c:v>1149111776.53</c:v>
                </c:pt>
                <c:pt idx="4" formatCode="&quot;$&quot;#,##0">
                  <c:v>1343898825.3000007</c:v>
                </c:pt>
                <c:pt idx="6" formatCode="&quot;$&quot;#,##0">
                  <c:v>1305796441.5999994</c:v>
                </c:pt>
                <c:pt idx="8" formatCode="&quot;$&quot;#,##0">
                  <c:v>1204604345.4699998</c:v>
                </c:pt>
                <c:pt idx="10" formatCode="&quot;$&quot;#,##0">
                  <c:v>1201273265.8899999</c:v>
                </c:pt>
                <c:pt idx="12" formatCode="&quot;$&quot;#,##0">
                  <c:v>1239981448.5799997</c:v>
                </c:pt>
                <c:pt idx="14" formatCode="&quot;$&quot;#,##0">
                  <c:v>1276060362.4499993</c:v>
                </c:pt>
                <c:pt idx="16" formatCode="&quot;$&quot;#,##0">
                  <c:v>1276208183.1099994</c:v>
                </c:pt>
                <c:pt idx="18" formatCode="&quot;$&quot;#,##0">
                  <c:v>1317673189.9300001</c:v>
                </c:pt>
                <c:pt idx="20" formatCode="&quot;$&quot;#,##0">
                  <c:v>1342479138.1500001</c:v>
                </c:pt>
              </c:numCache>
            </c:numRef>
          </c:val>
          <c:smooth val="0"/>
          <c:extLst>
            <c:ext xmlns:c16="http://schemas.microsoft.com/office/drawing/2014/chart" uri="{C3380CC4-5D6E-409C-BE32-E72D297353CC}">
              <c16:uniqueId val="{00000003-7F02-4655-9264-865E24565121}"/>
            </c:ext>
          </c:extLst>
        </c:ser>
        <c:dLbls>
          <c:showLegendKey val="0"/>
          <c:showVal val="0"/>
          <c:showCatName val="0"/>
          <c:showSerName val="0"/>
          <c:showPercent val="0"/>
          <c:showBubbleSize val="0"/>
        </c:dLbls>
        <c:marker val="1"/>
        <c:smooth val="0"/>
        <c:axId val="874917712"/>
        <c:axId val="874919352"/>
      </c:lineChart>
      <c:catAx>
        <c:axId val="874917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874919352"/>
        <c:crosses val="autoZero"/>
        <c:auto val="1"/>
        <c:lblAlgn val="ctr"/>
        <c:lblOffset val="100"/>
        <c:noMultiLvlLbl val="0"/>
      </c:catAx>
      <c:valAx>
        <c:axId val="874919352"/>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874917712"/>
        <c:crosses val="autoZero"/>
        <c:crossBetween val="between"/>
        <c:majorUnit val="1000000000"/>
        <c:dispUnits>
          <c:builtInUnit val="b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solidFill>
                <a:latin typeface="+mn-lt"/>
                <a:ea typeface="+mn-ea"/>
                <a:cs typeface="+mn-cs"/>
              </a:defRPr>
            </a:pPr>
            <a:r>
              <a:rPr lang="en-US"/>
              <a:t>State SE Budget Appropriations*</a:t>
            </a:r>
          </a:p>
        </c:rich>
      </c:tx>
      <c:overlay val="0"/>
      <c:spPr>
        <a:noFill/>
        <a:ln>
          <a:noFill/>
        </a:ln>
        <a:effectLst/>
      </c:spPr>
      <c:txPr>
        <a:bodyPr rot="0" spcFirstLastPara="1" vertOverflow="ellipsis" vert="horz" wrap="square" anchor="ctr" anchorCtr="1"/>
        <a:lstStyle/>
        <a:p>
          <a:pPr>
            <a:defRPr sz="126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Sheet1!$A$61</c:f>
              <c:strCache>
                <c:ptCount val="1"/>
                <c:pt idx="0">
                  <c:v>State SE Funding</c:v>
                </c:pt>
              </c:strCache>
            </c:strRef>
          </c:tx>
          <c:spPr>
            <a:solidFill>
              <a:srgbClr val="00ADEF"/>
            </a:solidFill>
            <a:ln>
              <a:noFill/>
            </a:ln>
            <a:effectLst/>
          </c:spPr>
          <c:invertIfNegative val="0"/>
          <c:dLbls>
            <c:numFmt formatCode="&quot;$&quot;#,##0.00" sourceLinked="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Sheet1!$B$60:$O$60</c:f>
              <c:strCache>
                <c:ptCount val="13"/>
                <c:pt idx="0">
                  <c:v>2007-08</c:v>
                </c:pt>
                <c:pt idx="1">
                  <c:v>2008-09</c:v>
                </c:pt>
                <c:pt idx="2">
                  <c:v>2009-10</c:v>
                </c:pt>
                <c:pt idx="3">
                  <c:v>2010-11</c:v>
                </c:pt>
                <c:pt idx="4">
                  <c:v>2011-12</c:v>
                </c:pt>
                <c:pt idx="5">
                  <c:v>2012-13</c:v>
                </c:pt>
                <c:pt idx="6">
                  <c:v>2013-14</c:v>
                </c:pt>
                <c:pt idx="7">
                  <c:v>2014-15</c:v>
                </c:pt>
                <c:pt idx="8">
                  <c:v>2015-16</c:v>
                </c:pt>
                <c:pt idx="9">
                  <c:v>2016-17</c:v>
                </c:pt>
                <c:pt idx="10">
                  <c:v>2017-18</c:v>
                </c:pt>
                <c:pt idx="11">
                  <c:v>2018-19</c:v>
                </c:pt>
                <c:pt idx="12">
                  <c:v>2019-20</c:v>
                </c:pt>
              </c:strCache>
              <c:extLst/>
            </c:strRef>
          </c:cat>
          <c:val>
            <c:numRef>
              <c:f>Sheet1!$B$61:$O$61</c:f>
              <c:numCache>
                <c:formatCode>"$"#,##0</c:formatCode>
                <c:ptCount val="13"/>
                <c:pt idx="0">
                  <c:v>1010038000</c:v>
                </c:pt>
                <c:pt idx="1">
                  <c:v>1026815000</c:v>
                </c:pt>
                <c:pt idx="2">
                  <c:v>1026815000</c:v>
                </c:pt>
                <c:pt idx="3">
                  <c:v>1026815000</c:v>
                </c:pt>
                <c:pt idx="4">
                  <c:v>1026815000</c:v>
                </c:pt>
                <c:pt idx="5">
                  <c:v>1026815000</c:v>
                </c:pt>
                <c:pt idx="6">
                  <c:v>1026815000</c:v>
                </c:pt>
                <c:pt idx="7">
                  <c:v>1046815000</c:v>
                </c:pt>
                <c:pt idx="8">
                  <c:v>1076815000</c:v>
                </c:pt>
                <c:pt idx="9">
                  <c:v>1096815000</c:v>
                </c:pt>
                <c:pt idx="10">
                  <c:v>1121815000</c:v>
                </c:pt>
                <c:pt idx="11">
                  <c:v>1136815000</c:v>
                </c:pt>
                <c:pt idx="12">
                  <c:v>1186815000</c:v>
                </c:pt>
              </c:numCache>
              <c:extLst/>
            </c:numRef>
          </c:val>
          <c:extLst>
            <c:ext xmlns:c16="http://schemas.microsoft.com/office/drawing/2014/chart" uri="{C3380CC4-5D6E-409C-BE32-E72D297353CC}">
              <c16:uniqueId val="{00000000-A1E1-46E6-9B6F-1218DA9F8638}"/>
            </c:ext>
          </c:extLst>
        </c:ser>
        <c:dLbls>
          <c:dLblPos val="outEnd"/>
          <c:showLegendKey val="0"/>
          <c:showVal val="1"/>
          <c:showCatName val="0"/>
          <c:showSerName val="0"/>
          <c:showPercent val="0"/>
          <c:showBubbleSize val="0"/>
        </c:dLbls>
        <c:gapWidth val="80"/>
        <c:overlap val="-27"/>
        <c:axId val="459956096"/>
        <c:axId val="459958064"/>
      </c:barChart>
      <c:catAx>
        <c:axId val="459956096"/>
        <c:scaling>
          <c:orientation val="minMax"/>
        </c:scaling>
        <c:delete val="0"/>
        <c:axPos val="b"/>
        <c:numFmt formatCode="General" sourceLinked="1"/>
        <c:majorTickMark val="cross"/>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crossAx val="459958064"/>
        <c:crosses val="autoZero"/>
        <c:auto val="1"/>
        <c:lblAlgn val="ctr"/>
        <c:lblOffset val="100"/>
        <c:noMultiLvlLbl val="0"/>
      </c:catAx>
      <c:valAx>
        <c:axId val="459958064"/>
        <c:scaling>
          <c:orientation val="minMax"/>
          <c:min val="1000000000"/>
        </c:scaling>
        <c:delete val="0"/>
        <c:axPos val="l"/>
        <c:majorGridlines>
          <c:spPr>
            <a:ln w="9525" cap="flat" cmpd="sng" algn="ctr">
              <a:solidFill>
                <a:schemeClr val="tx1">
                  <a:lumMod val="15000"/>
                  <a:lumOff val="85000"/>
                </a:schemeClr>
              </a:solidFill>
              <a:round/>
            </a:ln>
            <a:effectLst/>
          </c:spPr>
        </c:majorGridlines>
        <c:numFmt formatCode="&quot;$&quot;#,##0.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crossAx val="459956096"/>
        <c:crosses val="autoZero"/>
        <c:crossBetween val="between"/>
        <c:majorUnit val="100000000"/>
        <c:dispUnits>
          <c:builtInUnit val="billions"/>
          <c:dispUnitsLbl>
            <c:spPr>
              <a:noFill/>
              <a:ln>
                <a:noFill/>
              </a:ln>
              <a:effectLst/>
            </c:spPr>
            <c:txPr>
              <a:bodyPr rot="-54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dispUnitsLbl>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86D32336AEB2449806A55DA2B82C9B" ma:contentTypeVersion="12" ma:contentTypeDescription="Create a new document." ma:contentTypeScope="" ma:versionID="bba843a9a91222c870d568d24faa2b5a">
  <xsd:schema xmlns:xsd="http://www.w3.org/2001/XMLSchema" xmlns:xs="http://www.w3.org/2001/XMLSchema" xmlns:p="http://schemas.microsoft.com/office/2006/metadata/properties" xmlns:ns3="e5c4072a-2c55-486d-8686-db1244aa8717" xmlns:ns4="1efbc20c-f4bb-4be9-82d5-3d30356f9437" targetNamespace="http://schemas.microsoft.com/office/2006/metadata/properties" ma:root="true" ma:fieldsID="73e6a24e8dfe4c4e084bc10ba03c10d2" ns3:_="" ns4:_="">
    <xsd:import namespace="e5c4072a-2c55-486d-8686-db1244aa8717"/>
    <xsd:import namespace="1efbc20c-f4bb-4be9-82d5-3d30356f94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4072a-2c55-486d-8686-db1244aa87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bc20c-f4bb-4be9-82d5-3d30356f94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968991-D859-45E2-BBF9-4B7ED52E34AB}">
  <ds:schemaRefs>
    <ds:schemaRef ds:uri="http://schemas.microsoft.com/sharepoint/v3/contenttype/forms"/>
  </ds:schemaRefs>
</ds:datastoreItem>
</file>

<file path=customXml/itemProps2.xml><?xml version="1.0" encoding="utf-8"?>
<ds:datastoreItem xmlns:ds="http://schemas.openxmlformats.org/officeDocument/2006/customXml" ds:itemID="{E6BA0AAF-8D33-4C51-BF1E-EB3C9E73E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4072a-2c55-486d-8686-db1244aa8717"/>
    <ds:schemaRef ds:uri="1efbc20c-f4bb-4be9-82d5-3d30356f9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8C0004-96CE-44AB-B9F8-EADCB7B049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1824</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Callahan</dc:creator>
  <cp:keywords/>
  <dc:description/>
  <cp:lastModifiedBy>John Callahan</cp:lastModifiedBy>
  <cp:revision>3</cp:revision>
  <dcterms:created xsi:type="dcterms:W3CDTF">2019-09-30T17:06:00Z</dcterms:created>
  <dcterms:modified xsi:type="dcterms:W3CDTF">2019-09-30T17:13:00Z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0x010100B686D32336AEB2449806A55DA2B82C9B</vt:lpwstr>
  </property>
</Properties>
</file>